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68C38" w14:textId="160AB0FF" w:rsidR="0007400D" w:rsidRPr="00BF0F73" w:rsidRDefault="0007400D" w:rsidP="0007400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BF0F73">
        <w:rPr>
          <w:rFonts w:ascii="Arial" w:eastAsia="SimSun" w:hAnsi="Arial" w:cs="Times New Roman"/>
          <w:b/>
          <w:bCs/>
          <w:sz w:val="24"/>
          <w:szCs w:val="24"/>
          <w:lang w:val="en-GB"/>
        </w:rPr>
        <w:t>3GPP T</w:t>
      </w:r>
      <w:bookmarkStart w:id="2" w:name="_Ref452454252"/>
      <w:bookmarkEnd w:id="2"/>
      <w:r w:rsidRPr="00BF0F73">
        <w:rPr>
          <w:rFonts w:ascii="Arial" w:eastAsia="SimSun" w:hAnsi="Arial" w:cs="Times New Roman"/>
          <w:b/>
          <w:bCs/>
          <w:sz w:val="24"/>
          <w:szCs w:val="24"/>
          <w:lang w:val="en-GB"/>
        </w:rPr>
        <w:t xml:space="preserve">SG-RAN WG4 Meeting #94-e                </w:t>
      </w:r>
      <w:r w:rsidR="00964A4F" w:rsidRPr="00BF0F73">
        <w:rPr>
          <w:rFonts w:ascii="Arial" w:eastAsia="SimSun" w:hAnsi="Arial" w:cs="Times New Roman"/>
          <w:b/>
          <w:bCs/>
          <w:sz w:val="24"/>
          <w:szCs w:val="24"/>
          <w:lang w:val="en-GB" w:eastAsia="ja-JP"/>
        </w:rPr>
        <w:tab/>
        <w:t>R4-2001440</w:t>
      </w:r>
    </w:p>
    <w:bookmarkEnd w:id="0"/>
    <w:bookmarkEnd w:id="1"/>
    <w:p w14:paraId="1BEE35D5" w14:textId="77777777" w:rsidR="0007400D" w:rsidRPr="003B4FC5" w:rsidRDefault="0007400D" w:rsidP="0007400D">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BF0F73">
        <w:rPr>
          <w:rFonts w:ascii="Arial" w:eastAsia="SimSun" w:hAnsi="Arial" w:cs="Times New Roman"/>
          <w:b/>
          <w:sz w:val="24"/>
          <w:szCs w:val="20"/>
        </w:rPr>
        <w:t>Online, February 24</w:t>
      </w:r>
      <w:r w:rsidRPr="00BF0F73">
        <w:rPr>
          <w:rFonts w:ascii="Arial" w:eastAsia="SimSun" w:hAnsi="Arial" w:cs="Times New Roman"/>
          <w:b/>
          <w:sz w:val="24"/>
          <w:szCs w:val="20"/>
          <w:vertAlign w:val="superscript"/>
        </w:rPr>
        <w:t>th</w:t>
      </w:r>
      <w:r w:rsidRPr="00BF0F73">
        <w:rPr>
          <w:rFonts w:ascii="Arial" w:eastAsia="SimSun" w:hAnsi="Arial" w:cs="Times New Roman"/>
          <w:b/>
          <w:sz w:val="24"/>
          <w:szCs w:val="20"/>
        </w:rPr>
        <w:t xml:space="preserve"> – March 6</w:t>
      </w:r>
      <w:r w:rsidRPr="00BF0F73">
        <w:rPr>
          <w:rFonts w:ascii="Arial" w:eastAsia="SimSun" w:hAnsi="Arial" w:cs="Times New Roman"/>
          <w:b/>
          <w:sz w:val="24"/>
          <w:szCs w:val="20"/>
          <w:vertAlign w:val="superscript"/>
        </w:rPr>
        <w:t>th</w:t>
      </w:r>
      <w:r w:rsidRPr="00BF0F73">
        <w:rPr>
          <w:rFonts w:ascii="Arial" w:eastAsia="SimSun" w:hAnsi="Arial" w:cs="Times New Roman"/>
          <w:b/>
          <w:sz w:val="24"/>
          <w:szCs w:val="20"/>
        </w:rPr>
        <w:t>, 2020</w:t>
      </w:r>
    </w:p>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028969C7" w:rsidR="000E23A6" w:rsidRPr="008F2C0D" w:rsidRDefault="000E23A6" w:rsidP="000E23A6">
      <w:pPr>
        <w:ind w:left="1985" w:hanging="1985"/>
        <w:jc w:val="both"/>
        <w:rPr>
          <w:rFonts w:ascii="Arial" w:eastAsia="Calibri" w:hAnsi="Arial" w:cs="Arial"/>
          <w:b/>
          <w:bCs/>
          <w:sz w:val="24"/>
        </w:rPr>
      </w:pPr>
      <w:r w:rsidRPr="008F2C0D">
        <w:rPr>
          <w:rFonts w:ascii="Arial" w:eastAsia="Calibri" w:hAnsi="Arial" w:cs="Arial"/>
          <w:b/>
          <w:bCs/>
          <w:sz w:val="24"/>
        </w:rPr>
        <w:t>Title:</w:t>
      </w:r>
      <w:r w:rsidRPr="008F2C0D">
        <w:rPr>
          <w:rFonts w:ascii="Arial" w:eastAsia="Calibri" w:hAnsi="Arial" w:cs="Arial"/>
          <w:b/>
          <w:bCs/>
          <w:sz w:val="24"/>
        </w:rPr>
        <w:tab/>
      </w:r>
      <w:r w:rsidR="008F2C0D" w:rsidRPr="008F2C0D">
        <w:rPr>
          <w:rFonts w:ascii="Arial" w:eastAsia="Calibri" w:hAnsi="Arial" w:cs="Arial"/>
          <w:b/>
          <w:bCs/>
          <w:sz w:val="24"/>
        </w:rPr>
        <w:t xml:space="preserve">Discussion on </w:t>
      </w:r>
      <w:r w:rsidR="00B06394">
        <w:rPr>
          <w:rFonts w:ascii="Arial" w:eastAsia="Calibri" w:hAnsi="Arial" w:cs="Arial"/>
          <w:b/>
          <w:bCs/>
          <w:sz w:val="24"/>
        </w:rPr>
        <w:t>HO requirements in NR-U</w:t>
      </w:r>
      <w:r w:rsidR="008F2C0D">
        <w:rPr>
          <w:rFonts w:ascii="Arial" w:eastAsia="Calibri" w:hAnsi="Arial" w:cs="Arial"/>
          <w:b/>
          <w:bCs/>
          <w:sz w:val="24"/>
        </w:rPr>
        <w:t xml:space="preserve"> </w:t>
      </w:r>
    </w:p>
    <w:p w14:paraId="3C35320A" w14:textId="03756F53" w:rsidR="000E23A6" w:rsidRPr="00964A4F" w:rsidRDefault="000E23A6" w:rsidP="000E23A6">
      <w:pPr>
        <w:tabs>
          <w:tab w:val="left" w:pos="1985"/>
        </w:tabs>
        <w:spacing w:after="120" w:line="240" w:lineRule="auto"/>
        <w:jc w:val="both"/>
        <w:rPr>
          <w:rFonts w:ascii="Arial" w:eastAsia="MS Mincho" w:hAnsi="Arial" w:cs="Arial"/>
          <w:b/>
          <w:bCs/>
          <w:sz w:val="24"/>
          <w:szCs w:val="20"/>
          <w:lang w:val="en-GB"/>
        </w:rPr>
      </w:pPr>
      <w:r w:rsidRPr="00964A4F">
        <w:rPr>
          <w:rFonts w:ascii="Arial" w:eastAsia="MS Mincho" w:hAnsi="Arial" w:cs="Arial"/>
          <w:b/>
          <w:bCs/>
          <w:sz w:val="24"/>
          <w:szCs w:val="20"/>
          <w:lang w:val="en-GB"/>
        </w:rPr>
        <w:t>Agenda item:</w:t>
      </w:r>
      <w:r w:rsidRPr="00964A4F">
        <w:rPr>
          <w:rFonts w:ascii="Arial" w:eastAsia="MS Mincho" w:hAnsi="Arial" w:cs="Arial"/>
          <w:b/>
          <w:bCs/>
          <w:sz w:val="24"/>
          <w:szCs w:val="20"/>
          <w:lang w:val="en-GB"/>
        </w:rPr>
        <w:tab/>
      </w:r>
      <w:r w:rsidR="00B06394" w:rsidRPr="00964A4F">
        <w:rPr>
          <w:rFonts w:ascii="Arial" w:eastAsia="MS Mincho" w:hAnsi="Arial" w:cs="Arial"/>
          <w:b/>
          <w:bCs/>
          <w:sz w:val="24"/>
          <w:szCs w:val="20"/>
          <w:lang w:val="en-GB"/>
        </w:rPr>
        <w:t>8.1.4.2</w:t>
      </w:r>
    </w:p>
    <w:p w14:paraId="5FCD8CC3" w14:textId="02570F67" w:rsidR="000E23A6" w:rsidRPr="00964A4F" w:rsidRDefault="000E23A6" w:rsidP="000E23A6">
      <w:pPr>
        <w:tabs>
          <w:tab w:val="left" w:pos="1985"/>
        </w:tabs>
        <w:jc w:val="both"/>
        <w:rPr>
          <w:rFonts w:ascii="Arial" w:eastAsia="Calibri" w:hAnsi="Arial" w:cs="Arial"/>
          <w:b/>
          <w:bCs/>
          <w:sz w:val="24"/>
          <w:lang w:val="en-GB"/>
        </w:rPr>
      </w:pPr>
      <w:r w:rsidRPr="00964A4F">
        <w:rPr>
          <w:rFonts w:ascii="Arial" w:eastAsia="Calibri" w:hAnsi="Arial" w:cs="Arial"/>
          <w:b/>
          <w:bCs/>
          <w:sz w:val="24"/>
          <w:lang w:val="en-GB"/>
        </w:rPr>
        <w:t>Document for:</w:t>
      </w:r>
      <w:r w:rsidRPr="00964A4F">
        <w:rPr>
          <w:rFonts w:ascii="Arial" w:eastAsia="Calibri" w:hAnsi="Arial" w:cs="Arial"/>
          <w:b/>
          <w:bCs/>
          <w:sz w:val="24"/>
          <w:lang w:val="en-GB"/>
        </w:rPr>
        <w:tab/>
        <w:t>Discussion</w:t>
      </w:r>
    </w:p>
    <w:p w14:paraId="68905DAB" w14:textId="30440F62" w:rsid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4F6E9E69" w14:textId="656E9083" w:rsidR="00B248F7" w:rsidRDefault="00B248F7" w:rsidP="008F2C0D">
      <w:pPr>
        <w:rPr>
          <w:rFonts w:eastAsiaTheme="minorEastAsia"/>
          <w:noProof/>
          <w:lang w:eastAsia="zh-CN"/>
        </w:rPr>
      </w:pPr>
      <w:r>
        <w:rPr>
          <w:rFonts w:eastAsiaTheme="minorEastAsia"/>
          <w:noProof/>
          <w:lang w:eastAsia="zh-CN"/>
        </w:rPr>
        <w:t xml:space="preserve"> In </w:t>
      </w:r>
      <w:r w:rsidR="008F2C0D">
        <w:rPr>
          <w:rFonts w:eastAsiaTheme="minorEastAsia"/>
          <w:noProof/>
          <w:lang w:eastAsia="zh-CN"/>
        </w:rPr>
        <w:t>RAN4 93 meeting, the following was agreed</w:t>
      </w:r>
      <w:r w:rsidR="00731B99">
        <w:rPr>
          <w:rFonts w:eastAsiaTheme="minorEastAsia"/>
          <w:noProof/>
          <w:lang w:eastAsia="zh-CN"/>
        </w:rPr>
        <w:t xml:space="preserve"> </w:t>
      </w:r>
      <w:r w:rsidR="00731B99">
        <w:rPr>
          <w:rFonts w:eastAsiaTheme="minorEastAsia"/>
          <w:noProof/>
          <w:lang w:eastAsia="zh-CN"/>
        </w:rPr>
        <w:fldChar w:fldCharType="begin"/>
      </w:r>
      <w:r w:rsidR="00731B99">
        <w:rPr>
          <w:rFonts w:eastAsiaTheme="minorEastAsia"/>
          <w:noProof/>
          <w:lang w:eastAsia="zh-CN"/>
        </w:rPr>
        <w:instrText xml:space="preserve"> REF _Ref29979889 \r \h </w:instrText>
      </w:r>
      <w:r w:rsidR="00731B99">
        <w:rPr>
          <w:rFonts w:eastAsiaTheme="minorEastAsia"/>
          <w:noProof/>
          <w:lang w:eastAsia="zh-CN"/>
        </w:rPr>
      </w:r>
      <w:r w:rsidR="00731B99">
        <w:rPr>
          <w:rFonts w:eastAsiaTheme="minorEastAsia"/>
          <w:noProof/>
          <w:lang w:eastAsia="zh-CN"/>
        </w:rPr>
        <w:fldChar w:fldCharType="separate"/>
      </w:r>
      <w:r w:rsidR="00731B99">
        <w:rPr>
          <w:rFonts w:eastAsiaTheme="minorEastAsia"/>
          <w:noProof/>
          <w:lang w:eastAsia="zh-CN"/>
        </w:rPr>
        <w:t>[1]</w:t>
      </w:r>
      <w:r w:rsidR="00731B99">
        <w:rPr>
          <w:rFonts w:eastAsiaTheme="minorEastAsia"/>
          <w:noProof/>
          <w:lang w:eastAsia="zh-CN"/>
        </w:rPr>
        <w:fldChar w:fldCharType="end"/>
      </w:r>
      <w:r w:rsidR="008F2C0D">
        <w:rPr>
          <w:rFonts w:eastAsiaTheme="minorEastAsia"/>
          <w:noProof/>
          <w:lang w:eastAsia="zh-CN"/>
        </w:rPr>
        <w:t xml:space="preserve">: </w:t>
      </w:r>
      <w:bookmarkStart w:id="3" w:name="_GoBack"/>
      <w:bookmarkEnd w:id="3"/>
    </w:p>
    <w:p w14:paraId="191A9D27" w14:textId="77777777" w:rsidR="008F2C0D" w:rsidRPr="002035BB" w:rsidRDefault="008F2C0D" w:rsidP="008F2C0D">
      <w:pPr>
        <w:rPr>
          <w:highlight w:val="green"/>
          <w:lang w:eastAsia="zh-CN"/>
        </w:rPr>
      </w:pPr>
      <w:r w:rsidRPr="002035BB">
        <w:rPr>
          <w:highlight w:val="green"/>
          <w:lang w:eastAsia="zh-CN"/>
        </w:rPr>
        <w:t>Agreement</w:t>
      </w:r>
    </w:p>
    <w:p w14:paraId="2D0B92C6" w14:textId="77777777" w:rsidR="008F2C0D" w:rsidRPr="002035BB" w:rsidRDefault="008F2C0D" w:rsidP="008F2C0D">
      <w:pPr>
        <w:pStyle w:val="ListParagraph"/>
        <w:numPr>
          <w:ilvl w:val="0"/>
          <w:numId w:val="13"/>
        </w:numPr>
        <w:spacing w:after="120" w:line="240" w:lineRule="auto"/>
        <w:contextualSpacing w:val="0"/>
        <w:rPr>
          <w:highlight w:val="green"/>
        </w:rPr>
      </w:pPr>
      <w:r w:rsidRPr="002035BB">
        <w:rPr>
          <w:highlight w:val="green"/>
        </w:rPr>
        <w:t xml:space="preserve">FFS whether to define Rel-16 NR-U HO requirements for scenarios with PCI collision for neighbor cells deployed in CCA carriers. </w:t>
      </w:r>
    </w:p>
    <w:p w14:paraId="53F92C05" w14:textId="68255F72" w:rsidR="008F2C0D" w:rsidRDefault="008F2C0D" w:rsidP="008F2C0D">
      <w:r>
        <w:t>In this contribution we discuss the need to introduce such requirements in NR-U handover.</w:t>
      </w:r>
    </w:p>
    <w:p w14:paraId="24BB6D09" w14:textId="70C9CB8C" w:rsidR="00B07A4B" w:rsidRDefault="00B07A4B" w:rsidP="00B07A4B">
      <w:pPr>
        <w:pStyle w:val="RAN4H1"/>
      </w:pPr>
      <w:bookmarkStart w:id="4" w:name="_Hlk7682270"/>
      <w:r>
        <w:t>2</w:t>
      </w:r>
      <w:r w:rsidRPr="00841BCD">
        <w:tab/>
      </w:r>
      <w:r>
        <w:t>Discussion</w:t>
      </w:r>
    </w:p>
    <w:p w14:paraId="0713A174" w14:textId="1F9C51BA" w:rsidR="00731B99" w:rsidRDefault="00731B99" w:rsidP="008F2C0D">
      <w:r>
        <w:t xml:space="preserve">NR-U is expected to operate in different scenarios, with and without </w:t>
      </w:r>
      <w:r w:rsidR="009162EB">
        <w:t>licensed carrier</w:t>
      </w:r>
      <w:r>
        <w:t xml:space="preserve"> support </w:t>
      </w:r>
      <w:r>
        <w:fldChar w:fldCharType="begin"/>
      </w:r>
      <w:r>
        <w:instrText xml:space="preserve"> REF _Ref29979953 \r \h </w:instrText>
      </w:r>
      <w:r>
        <w:fldChar w:fldCharType="separate"/>
      </w:r>
      <w:r>
        <w:t>[2]</w:t>
      </w:r>
      <w:r>
        <w:fldChar w:fldCharType="end"/>
      </w:r>
      <w:r>
        <w:t>:</w:t>
      </w:r>
    </w:p>
    <w:p w14:paraId="62538A0E" w14:textId="77777777" w:rsidR="00731B99" w:rsidRPr="00BD729C" w:rsidRDefault="00731B99" w:rsidP="00731B99">
      <w:pPr>
        <w:numPr>
          <w:ilvl w:val="0"/>
          <w:numId w:val="7"/>
        </w:numPr>
        <w:overflowPunct w:val="0"/>
        <w:autoSpaceDE w:val="0"/>
        <w:autoSpaceDN w:val="0"/>
        <w:adjustRightInd w:val="0"/>
        <w:spacing w:after="0" w:line="240" w:lineRule="auto"/>
        <w:textAlignment w:val="baseline"/>
        <w:rPr>
          <w:bCs/>
        </w:rPr>
      </w:pPr>
      <w:r w:rsidRPr="00BD729C">
        <w:rPr>
          <w:bCs/>
        </w:rPr>
        <w:t>Scenario A: Carrier aggregation between licensed band NR (</w:t>
      </w:r>
      <w:proofErr w:type="spellStart"/>
      <w:r w:rsidRPr="00BD729C">
        <w:rPr>
          <w:bCs/>
        </w:rPr>
        <w:t>PCell</w:t>
      </w:r>
      <w:proofErr w:type="spellEnd"/>
      <w:r w:rsidRPr="00BD729C">
        <w:rPr>
          <w:bCs/>
        </w:rPr>
        <w:t>) and NR-U (</w:t>
      </w:r>
      <w:proofErr w:type="spellStart"/>
      <w:r w:rsidRPr="00BD729C">
        <w:rPr>
          <w:bCs/>
        </w:rPr>
        <w:t>SCell</w:t>
      </w:r>
      <w:proofErr w:type="spellEnd"/>
      <w:r w:rsidRPr="00BD729C">
        <w:rPr>
          <w:bCs/>
        </w:rPr>
        <w:t xml:space="preserve">) </w:t>
      </w:r>
    </w:p>
    <w:p w14:paraId="39E4337F" w14:textId="77777777" w:rsidR="00731B99" w:rsidRPr="00BD729C" w:rsidRDefault="00731B99" w:rsidP="00731B99">
      <w:pPr>
        <w:numPr>
          <w:ilvl w:val="1"/>
          <w:numId w:val="7"/>
        </w:numPr>
        <w:overflowPunct w:val="0"/>
        <w:autoSpaceDE w:val="0"/>
        <w:autoSpaceDN w:val="0"/>
        <w:adjustRightInd w:val="0"/>
        <w:spacing w:after="0" w:line="240" w:lineRule="auto"/>
        <w:textAlignment w:val="baseline"/>
        <w:rPr>
          <w:bCs/>
        </w:rPr>
      </w:pPr>
      <w:r w:rsidRPr="00BD729C">
        <w:rPr>
          <w:bCs/>
        </w:rPr>
        <w:t xml:space="preserve">NR-U </w:t>
      </w:r>
      <w:proofErr w:type="spellStart"/>
      <w:r w:rsidRPr="00BD729C">
        <w:rPr>
          <w:bCs/>
        </w:rPr>
        <w:t>SCell</w:t>
      </w:r>
      <w:proofErr w:type="spellEnd"/>
      <w:r w:rsidRPr="00BD729C">
        <w:rPr>
          <w:bCs/>
        </w:rPr>
        <w:t xml:space="preserve"> may have both DL and UL, or DL-only.</w:t>
      </w:r>
    </w:p>
    <w:p w14:paraId="02986502" w14:textId="77777777" w:rsidR="00731B99" w:rsidRPr="00BD729C" w:rsidRDefault="00731B99" w:rsidP="00731B99">
      <w:pPr>
        <w:numPr>
          <w:ilvl w:val="0"/>
          <w:numId w:val="7"/>
        </w:numPr>
        <w:overflowPunct w:val="0"/>
        <w:autoSpaceDE w:val="0"/>
        <w:autoSpaceDN w:val="0"/>
        <w:adjustRightInd w:val="0"/>
        <w:spacing w:after="0" w:line="240" w:lineRule="auto"/>
        <w:textAlignment w:val="baseline"/>
        <w:rPr>
          <w:bCs/>
        </w:rPr>
      </w:pPr>
      <w:r w:rsidRPr="00BD729C">
        <w:rPr>
          <w:bCs/>
        </w:rPr>
        <w:t>Scenario B: Dual connectivity between licensed band LTE (</w:t>
      </w:r>
      <w:proofErr w:type="spellStart"/>
      <w:r w:rsidRPr="00BD729C">
        <w:rPr>
          <w:bCs/>
        </w:rPr>
        <w:t>PCell</w:t>
      </w:r>
      <w:proofErr w:type="spellEnd"/>
      <w:r w:rsidRPr="00BD729C">
        <w:rPr>
          <w:bCs/>
        </w:rPr>
        <w:t>) and NR-U (</w:t>
      </w:r>
      <w:proofErr w:type="spellStart"/>
      <w:r w:rsidRPr="00BD729C">
        <w:rPr>
          <w:bCs/>
        </w:rPr>
        <w:t>PSCell</w:t>
      </w:r>
      <w:proofErr w:type="spellEnd"/>
      <w:r w:rsidRPr="00BD729C">
        <w:rPr>
          <w:bCs/>
        </w:rPr>
        <w:t>)</w:t>
      </w:r>
    </w:p>
    <w:p w14:paraId="2B67B759" w14:textId="77777777" w:rsidR="00731B99" w:rsidRPr="00BD729C" w:rsidRDefault="00731B99" w:rsidP="00731B99">
      <w:pPr>
        <w:numPr>
          <w:ilvl w:val="0"/>
          <w:numId w:val="7"/>
        </w:numPr>
        <w:overflowPunct w:val="0"/>
        <w:autoSpaceDE w:val="0"/>
        <w:autoSpaceDN w:val="0"/>
        <w:adjustRightInd w:val="0"/>
        <w:spacing w:after="0" w:line="240" w:lineRule="auto"/>
        <w:textAlignment w:val="baseline"/>
        <w:rPr>
          <w:bCs/>
        </w:rPr>
      </w:pPr>
      <w:r w:rsidRPr="00BD729C">
        <w:rPr>
          <w:bCs/>
        </w:rPr>
        <w:t>Scenario C: Stand-alone NR-U</w:t>
      </w:r>
    </w:p>
    <w:p w14:paraId="44F19EF6" w14:textId="77777777" w:rsidR="00731B99" w:rsidRPr="00BD729C" w:rsidRDefault="00731B99" w:rsidP="00731B99">
      <w:pPr>
        <w:numPr>
          <w:ilvl w:val="0"/>
          <w:numId w:val="7"/>
        </w:numPr>
        <w:overflowPunct w:val="0"/>
        <w:autoSpaceDE w:val="0"/>
        <w:autoSpaceDN w:val="0"/>
        <w:adjustRightInd w:val="0"/>
        <w:spacing w:after="0" w:line="240" w:lineRule="auto"/>
        <w:textAlignment w:val="baseline"/>
        <w:rPr>
          <w:bCs/>
        </w:rPr>
      </w:pPr>
      <w:r w:rsidRPr="00BD729C">
        <w:rPr>
          <w:bCs/>
        </w:rPr>
        <w:t xml:space="preserve">Scenario D: A </w:t>
      </w:r>
      <w:r>
        <w:rPr>
          <w:bCs/>
        </w:rPr>
        <w:t xml:space="preserve">stand-alone </w:t>
      </w:r>
      <w:r w:rsidRPr="00BD729C">
        <w:rPr>
          <w:bCs/>
        </w:rPr>
        <w:t>NR cell in unlicensed band and UL in licensed band</w:t>
      </w:r>
    </w:p>
    <w:p w14:paraId="046C14BE" w14:textId="7D1ACEB8" w:rsidR="00731B99" w:rsidRDefault="00731B99" w:rsidP="00731B99">
      <w:pPr>
        <w:numPr>
          <w:ilvl w:val="0"/>
          <w:numId w:val="7"/>
        </w:numPr>
        <w:overflowPunct w:val="0"/>
        <w:autoSpaceDE w:val="0"/>
        <w:autoSpaceDN w:val="0"/>
        <w:adjustRightInd w:val="0"/>
        <w:spacing w:after="0" w:line="240" w:lineRule="auto"/>
        <w:textAlignment w:val="baseline"/>
        <w:rPr>
          <w:bCs/>
        </w:rPr>
      </w:pPr>
      <w:r w:rsidRPr="00645A29">
        <w:rPr>
          <w:bCs/>
        </w:rPr>
        <w:t xml:space="preserve">Scenario E: Dual connectivity between licensed band </w:t>
      </w:r>
      <w:proofErr w:type="gramStart"/>
      <w:r w:rsidRPr="00645A29">
        <w:rPr>
          <w:bCs/>
        </w:rPr>
        <w:t>NR  and</w:t>
      </w:r>
      <w:proofErr w:type="gramEnd"/>
      <w:r w:rsidRPr="00645A29">
        <w:rPr>
          <w:bCs/>
        </w:rPr>
        <w:t xml:space="preserve"> NR-U </w:t>
      </w:r>
    </w:p>
    <w:p w14:paraId="08796946" w14:textId="77777777" w:rsidR="00731B99" w:rsidRPr="00645A29" w:rsidRDefault="00731B99" w:rsidP="00731B99">
      <w:pPr>
        <w:overflowPunct w:val="0"/>
        <w:autoSpaceDE w:val="0"/>
        <w:autoSpaceDN w:val="0"/>
        <w:adjustRightInd w:val="0"/>
        <w:spacing w:after="0" w:line="240" w:lineRule="auto"/>
        <w:ind w:left="720"/>
        <w:textAlignment w:val="baseline"/>
        <w:rPr>
          <w:bCs/>
        </w:rPr>
      </w:pPr>
    </w:p>
    <w:p w14:paraId="0F425B0B" w14:textId="6CD756DF" w:rsidR="00DE50DE" w:rsidRDefault="00731B99" w:rsidP="009462B6">
      <w:pPr>
        <w:jc w:val="both"/>
      </w:pPr>
      <w:r>
        <w:t xml:space="preserve"> In scenarios A, B, D and E, it is expected that NR-U operates with either carrier aggregation or in dual connectivity with licensed carriers</w:t>
      </w:r>
      <w:r w:rsidR="009162EB">
        <w:t xml:space="preserve">, </w:t>
      </w:r>
      <w:r w:rsidR="003F36E0">
        <w:t xml:space="preserve">i.e. </w:t>
      </w:r>
      <w:r w:rsidR="009162EB">
        <w:t>with operator deployments</w:t>
      </w:r>
      <w:r>
        <w:t>. However, in NR-U scenario C, stand-alone operation, there might be cases in which deployments are uncoordinated. These cases could, potentially lead to PCI collisions in the unlicensed spectrum</w:t>
      </w:r>
      <w:r w:rsidR="00817153">
        <w:t xml:space="preserve">, and e.g. UE may perform measurements from </w:t>
      </w:r>
      <w:r w:rsidR="0043615A">
        <w:t>cells</w:t>
      </w:r>
      <w:r w:rsidR="00817153">
        <w:t xml:space="preserve"> that belong to different PLMNs from that the UE is registered to. </w:t>
      </w:r>
      <w:bookmarkEnd w:id="4"/>
      <w:r>
        <w:t xml:space="preserve">This discussion arose in RAN4-93 from the </w:t>
      </w:r>
      <w:r w:rsidR="009162EB">
        <w:t>documents</w:t>
      </w:r>
      <w:r>
        <w:t xml:space="preserve"> </w:t>
      </w:r>
      <w:r w:rsidR="009162EB">
        <w:t>submitted in this meeting and in previous meetings</w:t>
      </w:r>
      <w:r w:rsidR="009162EB">
        <w:fldChar w:fldCharType="begin"/>
      </w:r>
      <w:r w:rsidR="009162EB">
        <w:instrText xml:space="preserve"> REF _Ref29980643 \r \h </w:instrText>
      </w:r>
      <w:r w:rsidR="009462B6">
        <w:instrText xml:space="preserve"> \* MERGEFORMAT </w:instrText>
      </w:r>
      <w:r w:rsidR="009162EB">
        <w:fldChar w:fldCharType="separate"/>
      </w:r>
      <w:r w:rsidR="009162EB">
        <w:t>[4]</w:t>
      </w:r>
      <w:r w:rsidR="009162EB">
        <w:fldChar w:fldCharType="end"/>
      </w:r>
      <w:r w:rsidR="009162EB">
        <w:fldChar w:fldCharType="begin"/>
      </w:r>
      <w:r w:rsidR="009162EB">
        <w:instrText xml:space="preserve"> REF _Ref29980645 \r \h </w:instrText>
      </w:r>
      <w:r w:rsidR="009462B6">
        <w:instrText xml:space="preserve"> \* MERGEFORMAT </w:instrText>
      </w:r>
      <w:r w:rsidR="009162EB">
        <w:fldChar w:fldCharType="separate"/>
      </w:r>
      <w:r w:rsidR="009162EB">
        <w:t>[5]</w:t>
      </w:r>
      <w:r w:rsidR="009162EB">
        <w:fldChar w:fldCharType="end"/>
      </w:r>
      <w:r w:rsidR="009162EB">
        <w:t xml:space="preserve">, in which </w:t>
      </w:r>
      <w:r w:rsidR="0043615A">
        <w:t xml:space="preserve">it is proposed to </w:t>
      </w:r>
      <w:r w:rsidR="00817153">
        <w:t>introduce a SIB reading time during cell re-selection and handover procedures to overcome the aforementioned issues.</w:t>
      </w:r>
    </w:p>
    <w:p w14:paraId="7E41407D" w14:textId="4C4C0567" w:rsidR="00761BF5" w:rsidRDefault="2AABED5D" w:rsidP="009462B6">
      <w:pPr>
        <w:jc w:val="both"/>
      </w:pPr>
      <w:r>
        <w:t xml:space="preserve">At this point, it is worth noting that PCI collisions/ confusion and cell re-selection measurements from cells from different PLMNs can also occur in licensed spectrum, in case of poor network planning or in borders between countries for example. Regarding cell re-selection in case the best cell belongs to a different PLMN, RAN4 has not defined any new requirements for this in Rel-15 and no extra time for reading the SIB during the UE measurements has been defined. Possible PLMN verification occurs </w:t>
      </w:r>
      <w:r w:rsidRPr="2AABED5D">
        <w:rPr>
          <w:u w:val="single"/>
        </w:rPr>
        <w:t>after</w:t>
      </w:r>
      <w:r>
        <w:t xml:space="preserve"> the UE has re-selected to a given cell. </w:t>
      </w:r>
    </w:p>
    <w:p w14:paraId="23F241EC" w14:textId="0192B564" w:rsidR="00761BF5" w:rsidRDefault="2AABED5D" w:rsidP="009462B6">
      <w:pPr>
        <w:jc w:val="both"/>
      </w:pPr>
      <w:r>
        <w:t>Additionally, it should be noticed that there are mechanisms that can be used by the network in identifying PCI confusion, such as ANR (automatic neighbor relation)</w:t>
      </w:r>
      <w:r w:rsidR="00964A4F">
        <w:t xml:space="preserve"> function</w:t>
      </w:r>
      <w:r>
        <w:t xml:space="preserve">. </w:t>
      </w:r>
    </w:p>
    <w:p w14:paraId="353AA721" w14:textId="302743A0" w:rsidR="00852B07" w:rsidRDefault="2AABED5D" w:rsidP="00852B07">
      <w:pPr>
        <w:pStyle w:val="RAN4observation0"/>
      </w:pPr>
      <w:r>
        <w:t>PCI collisions</w:t>
      </w:r>
      <w:r w:rsidR="00964A4F">
        <w:t xml:space="preserve"> during handover</w:t>
      </w:r>
      <w:r>
        <w:t xml:space="preserve"> may also happen in licensed spectrum. </w:t>
      </w:r>
    </w:p>
    <w:p w14:paraId="577B2E0C" w14:textId="1441AB99" w:rsidR="00BE485B" w:rsidRDefault="00964A4F" w:rsidP="00BE485B">
      <w:pPr>
        <w:pStyle w:val="RAN4observation0"/>
      </w:pPr>
      <w:r>
        <w:t>ANR</w:t>
      </w:r>
      <w:r w:rsidR="2AABED5D">
        <w:t xml:space="preserve"> </w:t>
      </w:r>
      <w:r w:rsidR="00131135">
        <w:t xml:space="preserve">function </w:t>
      </w:r>
      <w:r w:rsidR="2AABED5D">
        <w:t>enables the network to identify PCI collisions.</w:t>
      </w:r>
    </w:p>
    <w:p w14:paraId="0E9E5865" w14:textId="72E36D80" w:rsidR="00BE485B" w:rsidRPr="00BE485B" w:rsidRDefault="2AABED5D" w:rsidP="00BE485B">
      <w:pPr>
        <w:pStyle w:val="RAN4observation0"/>
        <w:rPr>
          <w:rFonts w:asciiTheme="minorHAnsi" w:eastAsiaTheme="minorEastAsia" w:hAnsiTheme="minorHAnsi" w:cstheme="minorBidi"/>
        </w:rPr>
      </w:pPr>
      <w:r>
        <w:t>RAN4 Rel-15 does not define specific extra time for reading the SIB due to possible PCI collisions.</w:t>
      </w:r>
    </w:p>
    <w:p w14:paraId="10C2B095" w14:textId="4888B5F5" w:rsidR="00761BF5" w:rsidRDefault="00761BF5" w:rsidP="009462B6">
      <w:pPr>
        <w:jc w:val="both"/>
      </w:pPr>
      <w:r>
        <w:t xml:space="preserve">Regarding the impact on cell re-selection in unlicensed spectrum, RAN2 has already defined a mechanism to handle the case in </w:t>
      </w:r>
      <w:r w:rsidR="00852B07">
        <w:t>which the strongest cell belongs</w:t>
      </w:r>
      <w:r>
        <w:t xml:space="preserve"> to a different PLMN. In this case, the UE </w:t>
      </w:r>
      <w:proofErr w:type="gramStart"/>
      <w:r w:rsidR="00852B07">
        <w:t>is allowed to</w:t>
      </w:r>
      <w:proofErr w:type="gramEnd"/>
      <w:r w:rsidR="00852B07">
        <w:t xml:space="preserve"> read the system information of the non-strongest cells. It w</w:t>
      </w:r>
      <w:r>
        <w:t>ill consider that frequency to have the lowest priority for reselection during 300 s</w:t>
      </w:r>
      <w:r w:rsidR="00852B07">
        <w:t xml:space="preserve"> if at least 2 cells belong to different PLMNs. </w:t>
      </w:r>
      <w:r>
        <w:t>Additionally, in order to minimize the probability of the UE measuring a cell that does not belong to the registered PLMN, RAN2 has defined a whitelist,</w:t>
      </w:r>
      <w:r w:rsidR="0043615A">
        <w:t xml:space="preserve"> that enables the network to restrict which cells are to </w:t>
      </w:r>
      <w:r w:rsidR="0043615A">
        <w:lastRenderedPageBreak/>
        <w:t>be measured</w:t>
      </w:r>
      <w:r>
        <w:t xml:space="preserve">. No </w:t>
      </w:r>
      <w:r w:rsidR="0043615A">
        <w:t>action from</w:t>
      </w:r>
      <w:r>
        <w:t xml:space="preserve"> RAN 4 is needed in that case, since the procedure of checking the PLMN occurs </w:t>
      </w:r>
      <w:r w:rsidRPr="00761BF5">
        <w:rPr>
          <w:u w:val="single"/>
        </w:rPr>
        <w:t>after</w:t>
      </w:r>
      <w:r>
        <w:t xml:space="preserve"> the UE has re-selected to a given cell</w:t>
      </w:r>
      <w:r w:rsidR="00723FBE">
        <w:t xml:space="preserve"> (after the idle mode measurement, whose requirements are specified by RAN4)</w:t>
      </w:r>
      <w:r>
        <w:t>, as it is in baseline NR Rel-15.</w:t>
      </w:r>
    </w:p>
    <w:p w14:paraId="1C6FB95C" w14:textId="17EA2217" w:rsidR="00852B07" w:rsidRDefault="0043615A" w:rsidP="009462B6">
      <w:pPr>
        <w:jc w:val="both"/>
      </w:pPr>
      <w:r>
        <w:t>Regarding the issue with PCI collisions/ confusion</w:t>
      </w:r>
      <w:r w:rsidR="00BE485B">
        <w:t xml:space="preserve"> in unlicensed spectrum,</w:t>
      </w:r>
      <w:r>
        <w:t xml:space="preserve"> which might impact the handover, </w:t>
      </w:r>
      <w:r w:rsidR="00852B07">
        <w:t xml:space="preserve">RAN2 has also agreed that: </w:t>
      </w:r>
    </w:p>
    <w:p w14:paraId="5D9A13A7" w14:textId="41E7A0D4" w:rsidR="00761BF5" w:rsidRDefault="00852B07" w:rsidP="009462B6">
      <w:pPr>
        <w:jc w:val="both"/>
      </w:pPr>
      <w:r>
        <w:rPr>
          <w:noProof/>
        </w:rPr>
        <mc:AlternateContent>
          <mc:Choice Requires="wps">
            <w:drawing>
              <wp:anchor distT="45720" distB="45720" distL="114300" distR="114300" simplePos="0" relativeHeight="251659264" behindDoc="0" locked="0" layoutInCell="1" allowOverlap="1" wp14:anchorId="6E11B57C" wp14:editId="7F8E32B3">
                <wp:simplePos x="0" y="0"/>
                <wp:positionH relativeFrom="margin">
                  <wp:align>right</wp:align>
                </wp:positionH>
                <wp:positionV relativeFrom="paragraph">
                  <wp:posOffset>181610</wp:posOffset>
                </wp:positionV>
                <wp:extent cx="6132830" cy="1404620"/>
                <wp:effectExtent l="0" t="0" r="2032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1404620"/>
                        </a:xfrm>
                        <a:prstGeom prst="rect">
                          <a:avLst/>
                        </a:prstGeom>
                        <a:solidFill>
                          <a:srgbClr val="FFFFFF"/>
                        </a:solidFill>
                        <a:ln w="9525">
                          <a:solidFill>
                            <a:srgbClr val="000000"/>
                          </a:solidFill>
                          <a:miter lim="800000"/>
                          <a:headEnd/>
                          <a:tailEnd/>
                        </a:ln>
                      </wps:spPr>
                      <wps:txbx>
                        <w:txbxContent>
                          <w:p w14:paraId="2492D539" w14:textId="300AA747" w:rsidR="00852B07" w:rsidRPr="00852B07" w:rsidRDefault="00852B07" w:rsidP="00852B07">
                            <w:pPr>
                              <w:pStyle w:val="NormalWeb"/>
                              <w:spacing w:before="0" w:beforeAutospacing="0" w:after="0" w:afterAutospacing="0"/>
                              <w:ind w:left="540"/>
                              <w:rPr>
                                <w:rFonts w:ascii="Arial" w:hAnsi="Arial" w:cs="Arial"/>
                                <w:sz w:val="20"/>
                                <w:szCs w:val="20"/>
                                <w:lang w:val="en-US"/>
                              </w:rPr>
                            </w:pPr>
                            <w:r w:rsidRPr="00852B07">
                              <w:rPr>
                                <w:rFonts w:ascii="Arial" w:hAnsi="Arial" w:cs="Arial"/>
                                <w:b/>
                                <w:bCs/>
                                <w:sz w:val="20"/>
                                <w:szCs w:val="20"/>
                                <w:highlight w:val="green"/>
                                <w:lang w:val="en-US"/>
                              </w:rPr>
                              <w:t>RAN2 Agreements:</w:t>
                            </w:r>
                          </w:p>
                          <w:p w14:paraId="0182D796" w14:textId="77777777" w:rsidR="00852B07" w:rsidRPr="00852B07" w:rsidRDefault="00852B07" w:rsidP="00852B07">
                            <w:pPr>
                              <w:pStyle w:val="NormalWeb"/>
                              <w:spacing w:before="0" w:beforeAutospacing="0" w:after="0" w:afterAutospacing="0"/>
                              <w:ind w:left="540"/>
                              <w:rPr>
                                <w:rFonts w:ascii="Arial" w:hAnsi="Arial" w:cs="Arial"/>
                                <w:b/>
                                <w:bCs/>
                                <w:sz w:val="20"/>
                                <w:szCs w:val="20"/>
                                <w:highlight w:val="green"/>
                                <w:lang w:val="en-US"/>
                              </w:rPr>
                            </w:pPr>
                          </w:p>
                          <w:p w14:paraId="6042AD98" w14:textId="2BD4614C" w:rsidR="00852B07" w:rsidRDefault="00852B07" w:rsidP="00852B07">
                            <w:pPr>
                              <w:pStyle w:val="NormalWeb"/>
                              <w:spacing w:before="0" w:beforeAutospacing="0" w:after="0" w:afterAutospacing="0"/>
                              <w:ind w:left="540"/>
                              <w:rPr>
                                <w:rFonts w:ascii="Arial" w:hAnsi="Arial" w:cs="Arial"/>
                                <w:b/>
                                <w:bCs/>
                                <w:sz w:val="20"/>
                                <w:szCs w:val="20"/>
                                <w:lang w:val="en-US"/>
                              </w:rPr>
                            </w:pPr>
                            <w:r>
                              <w:rPr>
                                <w:rFonts w:ascii="Arial" w:hAnsi="Arial" w:cs="Arial"/>
                                <w:b/>
                                <w:bCs/>
                                <w:sz w:val="20"/>
                                <w:szCs w:val="20"/>
                                <w:lang w:val="en-US"/>
                              </w:rPr>
                              <w:t>We will support whitelist</w:t>
                            </w:r>
                          </w:p>
                          <w:p w14:paraId="0DA56120" w14:textId="77777777" w:rsidR="00852B07" w:rsidRPr="00852B07" w:rsidRDefault="00852B07" w:rsidP="00852B07">
                            <w:pPr>
                              <w:pStyle w:val="NormalWeb"/>
                              <w:spacing w:before="0" w:beforeAutospacing="0" w:after="0" w:afterAutospacing="0"/>
                              <w:ind w:left="540"/>
                              <w:rPr>
                                <w:rFonts w:ascii="Arial" w:hAnsi="Arial" w:cs="Arial"/>
                                <w:b/>
                                <w:bCs/>
                                <w:sz w:val="20"/>
                                <w:szCs w:val="20"/>
                                <w:highlight w:val="green"/>
                                <w:lang w:val="en-US"/>
                              </w:rPr>
                            </w:pPr>
                          </w:p>
                          <w:p w14:paraId="3F22B960" w14:textId="13954347" w:rsidR="00852B07" w:rsidRPr="00852B07" w:rsidRDefault="00852B07" w:rsidP="00852B07">
                            <w:pPr>
                              <w:pStyle w:val="NormalWeb"/>
                              <w:spacing w:before="0" w:beforeAutospacing="0" w:after="0" w:afterAutospacing="0"/>
                              <w:ind w:left="540"/>
                              <w:rPr>
                                <w:rFonts w:ascii="Arial" w:hAnsi="Arial" w:cs="Arial"/>
                                <w:sz w:val="20"/>
                                <w:szCs w:val="20"/>
                                <w:lang w:val="en-US"/>
                              </w:rPr>
                            </w:pPr>
                            <w:r w:rsidRPr="00852B07">
                              <w:rPr>
                                <w:rFonts w:ascii="Arial" w:hAnsi="Arial" w:cs="Arial"/>
                                <w:b/>
                                <w:bCs/>
                                <w:sz w:val="20"/>
                                <w:szCs w:val="20"/>
                                <w:highlight w:val="green"/>
                                <w:lang w:val="en-US"/>
                              </w:rPr>
                              <w:t>RAN2 107 bis Agreements:</w:t>
                            </w:r>
                          </w:p>
                          <w:p w14:paraId="322E66B3" w14:textId="06AD1962" w:rsidR="00852B07" w:rsidRPr="00852B07" w:rsidRDefault="00852B07" w:rsidP="00852B07">
                            <w:pPr>
                              <w:numPr>
                                <w:ilvl w:val="0"/>
                                <w:numId w:val="15"/>
                              </w:numPr>
                              <w:spacing w:after="0" w:line="240" w:lineRule="auto"/>
                              <w:ind w:left="540"/>
                              <w:textAlignment w:val="center"/>
                              <w:rPr>
                                <w:rFonts w:ascii="Arial" w:eastAsia="Times New Roman" w:hAnsi="Arial" w:cs="Arial"/>
                                <w:szCs w:val="20"/>
                                <w:lang w:eastAsia="da-DK"/>
                              </w:rPr>
                            </w:pPr>
                            <w:r w:rsidRPr="00852B07">
                              <w:rPr>
                                <w:rFonts w:ascii="Arial" w:eastAsia="Times New Roman" w:hAnsi="Arial" w:cs="Arial"/>
                                <w:szCs w:val="20"/>
                                <w:lang w:eastAsia="da-DK"/>
                              </w:rPr>
                              <w:t xml:space="preserve">No additional mechanisms are introduced to help the UE find and identify NR-U target cells. The existing/agreed whitelist/blacklist configuration and CGI reports are considered </w:t>
                            </w:r>
                            <w:proofErr w:type="gramStart"/>
                            <w:r w:rsidRPr="00852B07">
                              <w:rPr>
                                <w:rFonts w:ascii="Arial" w:eastAsia="Times New Roman" w:hAnsi="Arial" w:cs="Arial"/>
                                <w:szCs w:val="20"/>
                                <w:lang w:eastAsia="da-DK"/>
                              </w:rPr>
                              <w:t>sufficien</w:t>
                            </w:r>
                            <w:r>
                              <w:rPr>
                                <w:rFonts w:ascii="Arial" w:eastAsia="Times New Roman" w:hAnsi="Arial" w:cs="Arial"/>
                                <w:szCs w:val="20"/>
                                <w:lang w:eastAsia="da-DK"/>
                              </w:rPr>
                              <w:t>t</w:t>
                            </w:r>
                            <w:proofErr w:type="gramEnd"/>
                            <w:r w:rsidRPr="00852B07">
                              <w:rPr>
                                <w:rFonts w:ascii="Arial" w:eastAsia="Times New Roman" w:hAnsi="Arial" w:cs="Arial"/>
                                <w:szCs w:val="20"/>
                                <w:lang w:eastAsia="da-DK"/>
                              </w:rPr>
                              <w:t>.</w:t>
                            </w:r>
                          </w:p>
                          <w:p w14:paraId="3926BE2A" w14:textId="6D9DE6FF" w:rsidR="00852B07" w:rsidRPr="00852B07" w:rsidRDefault="00852B07" w:rsidP="00852B07">
                            <w:pPr>
                              <w:numPr>
                                <w:ilvl w:val="0"/>
                                <w:numId w:val="15"/>
                              </w:numPr>
                              <w:spacing w:after="0" w:line="240" w:lineRule="auto"/>
                              <w:ind w:left="540"/>
                              <w:textAlignment w:val="center"/>
                              <w:rPr>
                                <w:rFonts w:ascii="Arial" w:eastAsia="Times New Roman" w:hAnsi="Arial" w:cs="Arial"/>
                                <w:szCs w:val="20"/>
                                <w:lang w:eastAsia="da-DK"/>
                              </w:rPr>
                            </w:pPr>
                            <w:r w:rsidRPr="00852B07">
                              <w:rPr>
                                <w:rFonts w:ascii="Arial" w:eastAsia="Times New Roman" w:hAnsi="Arial" w:cs="Arial"/>
                                <w:szCs w:val="20"/>
                                <w:lang w:eastAsia="da-DK"/>
                              </w:rPr>
                              <w:t>No additional mechanisms are introduced to address PCI collisions in Rel-16</w:t>
                            </w:r>
                            <w:r>
                              <w:rPr>
                                <w:rFonts w:ascii="Arial" w:eastAsia="Times New Roman" w:hAnsi="Arial" w:cs="Arial"/>
                                <w:szCs w:val="20"/>
                                <w:lang w:eastAsia="da-DK"/>
                              </w:rPr>
                              <w:t>.</w:t>
                            </w:r>
                          </w:p>
                          <w:p w14:paraId="45E6CA31" w14:textId="1FEAB8AB" w:rsidR="00852B07" w:rsidRDefault="00852B0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w14:anchorId="07E16E71">
              <v:shapetype id="_x0000_t202" coordsize="21600,21600" o:spt="202" path="m,l,21600r21600,l21600,xe" w14:anchorId="6E11B57C">
                <v:stroke joinstyle="miter"/>
                <v:path gradientshapeok="t" o:connecttype="rect"/>
              </v:shapetype>
              <v:shape id="Text Box 2" style="position:absolute;left:0;text-align:left;margin-left:431.7pt;margin-top:14.3pt;width:482.9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">
                <v:textbox style="mso-fit-shape-to-text:t">
                  <w:txbxContent>
                    <w:p w:rsidRPr="00852B07" w:rsidR="00852B07" w:rsidP="00852B07" w:rsidRDefault="00852B07" w14:paraId="7CB97751" w14:textId="300AA747">
                      <w:pPr>
                        <w:pStyle w:val="NormalWeb"/>
                        <w:spacing w:before="0" w:beforeAutospacing="0" w:after="0" w:afterAutospacing="0"/>
                        <w:ind w:left="540"/>
                        <w:rPr>
                          <w:rFonts w:ascii="Arial" w:hAnsi="Arial" w:cs="Arial"/>
                          <w:sz w:val="20"/>
                          <w:szCs w:val="20"/>
                          <w:lang w:val="en-US"/>
                        </w:rPr>
                      </w:pPr>
                      <w:r w:rsidRPr="00852B07">
                        <w:rPr>
                          <w:rFonts w:ascii="Arial" w:hAnsi="Arial" w:cs="Arial"/>
                          <w:b/>
                          <w:bCs/>
                          <w:sz w:val="20"/>
                          <w:szCs w:val="20"/>
                          <w:highlight w:val="green"/>
                          <w:lang w:val="en-US"/>
                        </w:rPr>
                        <w:t>RAN2 Agreements:</w:t>
                      </w:r>
                    </w:p>
                    <w:p w:rsidRPr="00852B07" w:rsidR="00852B07" w:rsidP="00852B07" w:rsidRDefault="00852B07" w14:paraId="672A6659" w14:textId="77777777">
                      <w:pPr>
                        <w:pStyle w:val="NormalWeb"/>
                        <w:spacing w:before="0" w:beforeAutospacing="0" w:after="0" w:afterAutospacing="0"/>
                        <w:ind w:left="540"/>
                        <w:rPr>
                          <w:rFonts w:ascii="Arial" w:hAnsi="Arial" w:cs="Arial"/>
                          <w:b/>
                          <w:bCs/>
                          <w:sz w:val="20"/>
                          <w:szCs w:val="20"/>
                          <w:highlight w:val="green"/>
                          <w:lang w:val="en-US"/>
                        </w:rPr>
                      </w:pPr>
                    </w:p>
                    <w:p w:rsidR="00852B07" w:rsidP="00852B07" w:rsidRDefault="00852B07" w14:paraId="208D2DC8" w14:textId="2BD4614C">
                      <w:pPr>
                        <w:pStyle w:val="NormalWeb"/>
                        <w:spacing w:before="0" w:beforeAutospacing="0" w:after="0" w:afterAutospacing="0"/>
                        <w:ind w:left="540"/>
                        <w:rPr>
                          <w:rFonts w:ascii="Arial" w:hAnsi="Arial" w:cs="Arial"/>
                          <w:b/>
                          <w:bCs/>
                          <w:sz w:val="20"/>
                          <w:szCs w:val="20"/>
                          <w:lang w:val="en-US"/>
                        </w:rPr>
                      </w:pPr>
                      <w:r>
                        <w:rPr>
                          <w:rFonts w:ascii="Arial" w:hAnsi="Arial" w:cs="Arial"/>
                          <w:b/>
                          <w:bCs/>
                          <w:sz w:val="20"/>
                          <w:szCs w:val="20"/>
                          <w:lang w:val="en-US"/>
                        </w:rPr>
                        <w:t>We will support whitelist</w:t>
                      </w:r>
                    </w:p>
                    <w:p w:rsidRPr="00852B07" w:rsidR="00852B07" w:rsidP="00852B07" w:rsidRDefault="00852B07" w14:paraId="0A37501D" w14:textId="77777777">
                      <w:pPr>
                        <w:pStyle w:val="NormalWeb"/>
                        <w:spacing w:before="0" w:beforeAutospacing="0" w:after="0" w:afterAutospacing="0"/>
                        <w:ind w:left="540"/>
                        <w:rPr>
                          <w:rFonts w:ascii="Arial" w:hAnsi="Arial" w:cs="Arial"/>
                          <w:b/>
                          <w:bCs/>
                          <w:sz w:val="20"/>
                          <w:szCs w:val="20"/>
                          <w:highlight w:val="green"/>
                          <w:lang w:val="en-US"/>
                        </w:rPr>
                      </w:pPr>
                    </w:p>
                    <w:p w:rsidRPr="00852B07" w:rsidR="00852B07" w:rsidP="00852B07" w:rsidRDefault="00852B07" w14:paraId="712F83C7" w14:textId="13954347">
                      <w:pPr>
                        <w:pStyle w:val="NormalWeb"/>
                        <w:spacing w:before="0" w:beforeAutospacing="0" w:after="0" w:afterAutospacing="0"/>
                        <w:ind w:left="540"/>
                        <w:rPr>
                          <w:rFonts w:ascii="Arial" w:hAnsi="Arial" w:cs="Arial"/>
                          <w:sz w:val="20"/>
                          <w:szCs w:val="20"/>
                          <w:lang w:val="en-US"/>
                        </w:rPr>
                      </w:pPr>
                      <w:r w:rsidRPr="00852B07">
                        <w:rPr>
                          <w:rFonts w:ascii="Arial" w:hAnsi="Arial" w:cs="Arial"/>
                          <w:b/>
                          <w:bCs/>
                          <w:sz w:val="20"/>
                          <w:szCs w:val="20"/>
                          <w:highlight w:val="green"/>
                          <w:lang w:val="en-US"/>
                        </w:rPr>
                        <w:t xml:space="preserve">RAN2 107 bis </w:t>
                      </w:r>
                      <w:r w:rsidRPr="00852B07">
                        <w:rPr>
                          <w:rFonts w:ascii="Arial" w:hAnsi="Arial" w:cs="Arial"/>
                          <w:b/>
                          <w:bCs/>
                          <w:sz w:val="20"/>
                          <w:szCs w:val="20"/>
                          <w:highlight w:val="green"/>
                          <w:lang w:val="en-US"/>
                        </w:rPr>
                        <w:t>Agreements:</w:t>
                      </w:r>
                    </w:p>
                    <w:p w:rsidRPr="00852B07" w:rsidR="00852B07" w:rsidP="00852B07" w:rsidRDefault="00852B07" w14:paraId="656BE46E" w14:textId="06AD1962">
                      <w:pPr>
                        <w:numPr>
                          <w:ilvl w:val="0"/>
                          <w:numId w:val="15"/>
                        </w:numPr>
                        <w:spacing w:after="0" w:line="240" w:lineRule="auto"/>
                        <w:ind w:left="540"/>
                        <w:textAlignment w:val="center"/>
                        <w:rPr>
                          <w:rFonts w:ascii="Arial" w:hAnsi="Arial" w:eastAsia="Times New Roman" w:cs="Arial"/>
                          <w:szCs w:val="20"/>
                          <w:lang w:eastAsia="da-DK"/>
                        </w:rPr>
                      </w:pPr>
                      <w:r w:rsidRPr="00852B07">
                        <w:rPr>
                          <w:rFonts w:ascii="Arial" w:hAnsi="Arial" w:eastAsia="Times New Roman" w:cs="Arial"/>
                          <w:szCs w:val="20"/>
                          <w:lang w:eastAsia="da-DK"/>
                        </w:rPr>
                        <w:t xml:space="preserve">No additional mechanisms are introduced to help the UE find and identify NR-U target cells. The existing/agreed whitelist/blacklist configuration and CGI reports are considered </w:t>
                      </w:r>
                      <w:proofErr w:type="gramStart"/>
                      <w:r w:rsidRPr="00852B07">
                        <w:rPr>
                          <w:rFonts w:ascii="Arial" w:hAnsi="Arial" w:eastAsia="Times New Roman" w:cs="Arial"/>
                          <w:szCs w:val="20"/>
                          <w:lang w:eastAsia="da-DK"/>
                        </w:rPr>
                        <w:t>sufficien</w:t>
                      </w:r>
                      <w:r>
                        <w:rPr>
                          <w:rFonts w:ascii="Arial" w:hAnsi="Arial" w:eastAsia="Times New Roman" w:cs="Arial"/>
                          <w:szCs w:val="20"/>
                          <w:lang w:eastAsia="da-DK"/>
                        </w:rPr>
                        <w:t>t</w:t>
                      </w:r>
                      <w:proofErr w:type="gramEnd"/>
                      <w:r w:rsidRPr="00852B07">
                        <w:rPr>
                          <w:rFonts w:ascii="Arial" w:hAnsi="Arial" w:eastAsia="Times New Roman" w:cs="Arial"/>
                          <w:szCs w:val="20"/>
                          <w:lang w:eastAsia="da-DK"/>
                        </w:rPr>
                        <w:t>.</w:t>
                      </w:r>
                    </w:p>
                    <w:p w:rsidRPr="00852B07" w:rsidR="00852B07" w:rsidP="00852B07" w:rsidRDefault="00852B07" w14:paraId="63C7E3B5" w14:textId="6D9DE6FF">
                      <w:pPr>
                        <w:numPr>
                          <w:ilvl w:val="0"/>
                          <w:numId w:val="15"/>
                        </w:numPr>
                        <w:spacing w:after="0" w:line="240" w:lineRule="auto"/>
                        <w:ind w:left="540"/>
                        <w:textAlignment w:val="center"/>
                        <w:rPr>
                          <w:rFonts w:ascii="Arial" w:hAnsi="Arial" w:eastAsia="Times New Roman" w:cs="Arial"/>
                          <w:szCs w:val="20"/>
                          <w:lang w:eastAsia="da-DK"/>
                        </w:rPr>
                      </w:pPr>
                      <w:r w:rsidRPr="00852B07">
                        <w:rPr>
                          <w:rFonts w:ascii="Arial" w:hAnsi="Arial" w:eastAsia="Times New Roman" w:cs="Arial"/>
                          <w:szCs w:val="20"/>
                          <w:lang w:eastAsia="da-DK"/>
                        </w:rPr>
                        <w:t>No additional mechanisms are introduced to address PCI collisions in Rel-16</w:t>
                      </w:r>
                      <w:r>
                        <w:rPr>
                          <w:rFonts w:ascii="Arial" w:hAnsi="Arial" w:eastAsia="Times New Roman" w:cs="Arial"/>
                          <w:szCs w:val="20"/>
                          <w:lang w:eastAsia="da-DK"/>
                        </w:rPr>
                        <w:t>.</w:t>
                      </w:r>
                    </w:p>
                    <w:p w:rsidR="00852B07" w:rsidRDefault="00852B07" w14:paraId="5DAB6C7B" w14:textId="1FEAB8AB"/>
                  </w:txbxContent>
                </v:textbox>
                <w10:wrap type="square" anchorx="margin"/>
              </v:shape>
            </w:pict>
          </mc:Fallback>
        </mc:AlternateContent>
      </w:r>
      <w:r>
        <w:t xml:space="preserve"> </w:t>
      </w:r>
    </w:p>
    <w:p w14:paraId="42D83E82" w14:textId="584AEFB5" w:rsidR="00852B07" w:rsidRDefault="2AABED5D" w:rsidP="00852B07">
      <w:pPr>
        <w:pStyle w:val="RAN4observation0"/>
      </w:pPr>
      <w:r>
        <w:t xml:space="preserve">RAN2 has introduced a whitelist mechanism to address the PCI collisions occurring in unlicensed spectrum. </w:t>
      </w:r>
    </w:p>
    <w:p w14:paraId="577C48C5" w14:textId="5303FFA6" w:rsidR="00BE485B" w:rsidRDefault="2AABED5D" w:rsidP="00BE485B">
      <w:pPr>
        <w:pStyle w:val="RAN4observation0"/>
      </w:pPr>
      <w:r>
        <w:t>RAN2 has agreed that no additional mechanisms are introduced to address PCI collisions in NR-U Rel-16.</w:t>
      </w:r>
    </w:p>
    <w:p w14:paraId="5B735546" w14:textId="287FA017" w:rsidR="00723FBE" w:rsidRDefault="00723FBE" w:rsidP="00723FBE">
      <w:pPr>
        <w:rPr>
          <w:lang w:val="en-GB"/>
        </w:rPr>
      </w:pPr>
      <w:r>
        <w:rPr>
          <w:lang w:val="en-GB"/>
        </w:rPr>
        <w:t xml:space="preserve">Regarding the needs to obtain the system information of the neighbour cells to avoid the ambiguity of the correct target cells during the HO decision and request proposed in  </w:t>
      </w:r>
      <w:r>
        <w:rPr>
          <w:lang w:val="en-GB"/>
        </w:rPr>
        <w:fldChar w:fldCharType="begin"/>
      </w:r>
      <w:r>
        <w:rPr>
          <w:lang w:val="en-GB"/>
        </w:rPr>
        <w:instrText xml:space="preserve"> REF _Ref29980645 \r \h </w:instrText>
      </w:r>
      <w:r>
        <w:rPr>
          <w:lang w:val="en-GB"/>
        </w:rPr>
      </w:r>
      <w:r>
        <w:rPr>
          <w:lang w:val="en-GB"/>
        </w:rPr>
        <w:fldChar w:fldCharType="separate"/>
      </w:r>
      <w:r>
        <w:rPr>
          <w:lang w:val="en-GB"/>
        </w:rPr>
        <w:t>[5]</w:t>
      </w:r>
      <w:r>
        <w:rPr>
          <w:lang w:val="en-GB"/>
        </w:rPr>
        <w:fldChar w:fldCharType="end"/>
      </w:r>
      <w:r>
        <w:rPr>
          <w:lang w:val="en-GB"/>
        </w:rPr>
        <w:t xml:space="preserve">, </w:t>
      </w:r>
      <w:r w:rsidR="00A53824">
        <w:rPr>
          <w:lang w:val="en-GB"/>
        </w:rPr>
        <w:t>we believe that it would impose and unnecessary measurement burden on the UE to obtain the PLMN of all neighbour cells. Additionally, the network has other means to avoid PCI collisions, therefore we propose:</w:t>
      </w:r>
    </w:p>
    <w:p w14:paraId="47285E4B" w14:textId="2E880509" w:rsidR="00A53824" w:rsidRPr="00A53824" w:rsidRDefault="2AABED5D" w:rsidP="00A53824">
      <w:pPr>
        <w:pStyle w:val="RAN4observation0"/>
      </w:pPr>
      <w:r>
        <w:t>There is no need for RAN4 to include an additional time for SI reading during handover.</w:t>
      </w:r>
    </w:p>
    <w:p w14:paraId="11447F09" w14:textId="2C419F0A" w:rsidR="00A53824" w:rsidRDefault="00A53824" w:rsidP="00EF1A9E">
      <w:pPr>
        <w:pStyle w:val="RAN4proposal"/>
      </w:pPr>
      <w:r>
        <w:t xml:space="preserve">RAN4 to adopt the same approach for unlicensed spectrum, as in licensed spectrum, and do not define different requirements for </w:t>
      </w:r>
      <w:r w:rsidR="00B06394">
        <w:t>handover c</w:t>
      </w:r>
      <w:r>
        <w:t>ases with PCI collisions.</w:t>
      </w:r>
    </w:p>
    <w:p w14:paraId="73A9E745" w14:textId="77777777" w:rsidR="009462B6" w:rsidRPr="00A53824" w:rsidRDefault="009462B6" w:rsidP="009462B6">
      <w:pPr>
        <w:jc w:val="both"/>
        <w:rPr>
          <w:lang w:val="en-GB"/>
        </w:rPr>
      </w:pPr>
    </w:p>
    <w:p w14:paraId="39433A12" w14:textId="3F8D4F08" w:rsidR="00D354C4" w:rsidRDefault="009A51CC" w:rsidP="0008612A">
      <w:pPr>
        <w:pStyle w:val="RAN4H1"/>
      </w:pPr>
      <w:r>
        <w:t>3 Conclusion</w:t>
      </w:r>
    </w:p>
    <w:p w14:paraId="3ED6C4FC" w14:textId="77777777" w:rsidR="000A3D8C" w:rsidRDefault="000A3D8C" w:rsidP="000A3D8C">
      <w:pPr>
        <w:pStyle w:val="RAN4Observation"/>
        <w:numPr>
          <w:ilvl w:val="0"/>
          <w:numId w:val="16"/>
        </w:numPr>
      </w:pPr>
      <w:r>
        <w:t xml:space="preserve">PCI collisions may also happen in licensed spectrum. </w:t>
      </w:r>
    </w:p>
    <w:p w14:paraId="504FCB64" w14:textId="099A2E10" w:rsidR="000A3D8C" w:rsidRDefault="00964A4F" w:rsidP="000A3D8C">
      <w:pPr>
        <w:pStyle w:val="RAN4observation0"/>
      </w:pPr>
      <w:r>
        <w:t>ANR</w:t>
      </w:r>
      <w:r w:rsidR="000A3D8C">
        <w:t xml:space="preserve"> </w:t>
      </w:r>
      <w:r w:rsidR="000B748F">
        <w:t>function</w:t>
      </w:r>
      <w:r w:rsidR="000A3D8C">
        <w:t xml:space="preserve"> enables the network to identify PCI collisions.</w:t>
      </w:r>
    </w:p>
    <w:p w14:paraId="203A9EFC" w14:textId="6259C800" w:rsidR="000A3D8C" w:rsidRDefault="000A3D8C" w:rsidP="000A3D8C">
      <w:pPr>
        <w:pStyle w:val="RAN4observation0"/>
      </w:pPr>
      <w:r>
        <w:t>RAN4 Rel-15 does not define specific extra time for reading the SIB due to possible PCI collisions.</w:t>
      </w:r>
    </w:p>
    <w:p w14:paraId="13B4BE6E" w14:textId="77777777" w:rsidR="000A3D8C" w:rsidRDefault="000A3D8C" w:rsidP="000A3D8C">
      <w:pPr>
        <w:pStyle w:val="RAN4observation0"/>
      </w:pPr>
      <w:r>
        <w:t xml:space="preserve">RAN2 has introduced a whitelist mechanism to address the PCI collisions occurring in unlicensed spectrum. </w:t>
      </w:r>
    </w:p>
    <w:p w14:paraId="17FA4792" w14:textId="314397EF" w:rsidR="000A3D8C" w:rsidRDefault="000A3D8C" w:rsidP="000A3D8C">
      <w:pPr>
        <w:pStyle w:val="RAN4observation0"/>
      </w:pPr>
      <w:r>
        <w:t>RAN2 has agreed that no additional mechanisms are introduced to address PCI collisions in NR-U Rel-16.</w:t>
      </w:r>
    </w:p>
    <w:p w14:paraId="704F56F0" w14:textId="77777777" w:rsidR="000A3D8C" w:rsidRPr="00A53824" w:rsidRDefault="000A3D8C" w:rsidP="000A3D8C">
      <w:pPr>
        <w:pStyle w:val="RAN4observation0"/>
      </w:pPr>
      <w:r>
        <w:t>There is no need for RAN4 to include an additional time for SI reading during handover.</w:t>
      </w:r>
    </w:p>
    <w:p w14:paraId="2EC735C4" w14:textId="7D66C94E" w:rsidR="000A3D8C" w:rsidRDefault="000A3D8C" w:rsidP="000A3D8C">
      <w:pPr>
        <w:pStyle w:val="RAN4proposal"/>
        <w:numPr>
          <w:ilvl w:val="0"/>
          <w:numId w:val="17"/>
        </w:numPr>
      </w:pPr>
      <w:r>
        <w:t xml:space="preserve">RAN4 to adopt the same approach for unlicensed spectrum, as in licensed spectrum, and do not define different requirements for </w:t>
      </w:r>
      <w:r w:rsidR="00B06394">
        <w:t xml:space="preserve">handover </w:t>
      </w:r>
      <w:r>
        <w:t>cases with PCI collisions.</w:t>
      </w:r>
    </w:p>
    <w:p w14:paraId="0928764E" w14:textId="77777777" w:rsidR="000A3D8C" w:rsidRPr="000A3D8C" w:rsidRDefault="000A3D8C" w:rsidP="000A3D8C"/>
    <w:p w14:paraId="295A9938" w14:textId="77777777" w:rsidR="000A3D8C" w:rsidRPr="000A3D8C" w:rsidRDefault="000A3D8C" w:rsidP="000A3D8C">
      <w:pPr>
        <w:rPr>
          <w:lang w:val="en-GB"/>
        </w:rPr>
      </w:pPr>
    </w:p>
    <w:p w14:paraId="72E381F0" w14:textId="77777777" w:rsidR="009A51CC" w:rsidRDefault="009A51CC" w:rsidP="000A3D8C">
      <w:pPr>
        <w:pStyle w:val="RAN4H1"/>
        <w:ind w:left="0" w:firstLine="0"/>
      </w:pPr>
    </w:p>
    <w:p w14:paraId="0E87B0FA" w14:textId="0E6E51C2" w:rsidR="003B659E" w:rsidRPr="0095295C" w:rsidRDefault="003B659E" w:rsidP="0008612A">
      <w:pPr>
        <w:pStyle w:val="RAN4H1"/>
      </w:pPr>
      <w:r w:rsidRPr="0095295C">
        <w:t>References</w:t>
      </w:r>
    </w:p>
    <w:p w14:paraId="60D0B695" w14:textId="193BA734" w:rsidR="00731B99" w:rsidRDefault="00731B99" w:rsidP="00731B99">
      <w:pPr>
        <w:numPr>
          <w:ilvl w:val="0"/>
          <w:numId w:val="1"/>
        </w:numPr>
        <w:overflowPunct w:val="0"/>
        <w:autoSpaceDE w:val="0"/>
        <w:autoSpaceDN w:val="0"/>
        <w:adjustRightInd w:val="0"/>
        <w:spacing w:after="120" w:line="240" w:lineRule="auto"/>
        <w:jc w:val="both"/>
        <w:textAlignment w:val="baseline"/>
        <w:rPr>
          <w:lang w:val="en-GB"/>
        </w:rPr>
      </w:pPr>
      <w:bookmarkStart w:id="5" w:name="_Ref29979889"/>
      <w:bookmarkStart w:id="6" w:name="_Ref20931039"/>
      <w:bookmarkStart w:id="7" w:name="_Ref26969648"/>
      <w:r w:rsidRPr="00731B99">
        <w:rPr>
          <w:lang w:val="en-GB"/>
        </w:rPr>
        <w:t>RAN4 #93 Meeting report</w:t>
      </w:r>
      <w:r>
        <w:rPr>
          <w:lang w:val="en-GB"/>
        </w:rPr>
        <w:t xml:space="preserve">, </w:t>
      </w:r>
      <w:proofErr w:type="gramStart"/>
      <w:r>
        <w:rPr>
          <w:lang w:val="en-GB"/>
        </w:rPr>
        <w:t>November,</w:t>
      </w:r>
      <w:proofErr w:type="gramEnd"/>
      <w:r>
        <w:rPr>
          <w:lang w:val="en-GB"/>
        </w:rPr>
        <w:t xml:space="preserve"> 2019.</w:t>
      </w:r>
      <w:bookmarkEnd w:id="5"/>
    </w:p>
    <w:p w14:paraId="208A3415" w14:textId="09030DAF" w:rsidR="00731B99" w:rsidRPr="00731B99" w:rsidRDefault="00731B99" w:rsidP="00731B99">
      <w:pPr>
        <w:numPr>
          <w:ilvl w:val="0"/>
          <w:numId w:val="1"/>
        </w:numPr>
        <w:overflowPunct w:val="0"/>
        <w:autoSpaceDE w:val="0"/>
        <w:autoSpaceDN w:val="0"/>
        <w:adjustRightInd w:val="0"/>
        <w:spacing w:after="120" w:line="240" w:lineRule="auto"/>
        <w:jc w:val="both"/>
        <w:textAlignment w:val="baseline"/>
        <w:rPr>
          <w:lang w:val="en-GB"/>
        </w:rPr>
      </w:pPr>
      <w:bookmarkStart w:id="8" w:name="_Ref29979953"/>
      <w:r w:rsidRPr="00731B99">
        <w:rPr>
          <w:lang w:val="en-GB"/>
        </w:rPr>
        <w:t>RP-191575, “Revised WID on NR-based Access to Unlicensed Spectrum”, Qualcomm Inc.</w:t>
      </w:r>
      <w:bookmarkEnd w:id="8"/>
    </w:p>
    <w:p w14:paraId="7C8D4CF1" w14:textId="5FBD76CE" w:rsidR="00AE2475" w:rsidRPr="00B06394" w:rsidRDefault="004E44ED" w:rsidP="00202C34">
      <w:pPr>
        <w:numPr>
          <w:ilvl w:val="0"/>
          <w:numId w:val="1"/>
        </w:numPr>
        <w:overflowPunct w:val="0"/>
        <w:autoSpaceDE w:val="0"/>
        <w:autoSpaceDN w:val="0"/>
        <w:adjustRightInd w:val="0"/>
        <w:spacing w:after="120" w:line="240" w:lineRule="auto"/>
        <w:jc w:val="both"/>
        <w:textAlignment w:val="baseline"/>
        <w:rPr>
          <w:lang w:val="en-GB"/>
        </w:rPr>
      </w:pPr>
      <w:r>
        <w:rPr>
          <w:lang w:val="en-GB"/>
        </w:rPr>
        <w:t>R4-</w:t>
      </w:r>
      <w:bookmarkEnd w:id="6"/>
      <w:r w:rsidR="00202C34">
        <w:rPr>
          <w:lang w:val="en-GB"/>
        </w:rPr>
        <w:t>1915777. “WF on NR-U RRM Requirements (all agreements in RAN4#93)”, Ericsson, Qualcomm Inc.</w:t>
      </w:r>
      <w:bookmarkEnd w:id="7"/>
    </w:p>
    <w:p w14:paraId="0283A0B8" w14:textId="266F3A9E" w:rsidR="009162EB" w:rsidRPr="00B06394" w:rsidRDefault="009162EB" w:rsidP="00202C34">
      <w:pPr>
        <w:numPr>
          <w:ilvl w:val="0"/>
          <w:numId w:val="1"/>
        </w:numPr>
        <w:overflowPunct w:val="0"/>
        <w:autoSpaceDE w:val="0"/>
        <w:autoSpaceDN w:val="0"/>
        <w:adjustRightInd w:val="0"/>
        <w:spacing w:after="120" w:line="240" w:lineRule="auto"/>
        <w:jc w:val="both"/>
        <w:textAlignment w:val="baseline"/>
        <w:rPr>
          <w:lang w:val="en-GB"/>
        </w:rPr>
      </w:pPr>
      <w:bookmarkStart w:id="9" w:name="_Ref29980643"/>
      <w:r w:rsidRPr="00B06394">
        <w:rPr>
          <w:lang w:val="en-GB"/>
        </w:rPr>
        <w:t>R4-1911032, “Discussion on SIB reading impacts on cell reselection requirements of NR-U”, Intel Corporation</w:t>
      </w:r>
      <w:bookmarkEnd w:id="9"/>
    </w:p>
    <w:p w14:paraId="14287BA5" w14:textId="64FDFF1A" w:rsidR="009162EB" w:rsidRPr="00B06394" w:rsidRDefault="009162EB" w:rsidP="00202C34">
      <w:pPr>
        <w:numPr>
          <w:ilvl w:val="0"/>
          <w:numId w:val="1"/>
        </w:numPr>
        <w:overflowPunct w:val="0"/>
        <w:autoSpaceDE w:val="0"/>
        <w:autoSpaceDN w:val="0"/>
        <w:adjustRightInd w:val="0"/>
        <w:spacing w:after="120" w:line="240" w:lineRule="auto"/>
        <w:jc w:val="both"/>
        <w:textAlignment w:val="baseline"/>
        <w:rPr>
          <w:lang w:val="en-GB"/>
        </w:rPr>
      </w:pPr>
      <w:bookmarkStart w:id="10" w:name="_Ref29980645"/>
      <w:r w:rsidRPr="00B06394">
        <w:rPr>
          <w:lang w:val="en-GB"/>
        </w:rPr>
        <w:t>R4-1913456, “Further discussion on HO requirements of NR-U”, Intel Corporation</w:t>
      </w:r>
      <w:bookmarkEnd w:id="10"/>
    </w:p>
    <w:p w14:paraId="15A9BAE2" w14:textId="39255C5C" w:rsidR="00AE2475" w:rsidRPr="00AE2475" w:rsidRDefault="00AE2475" w:rsidP="001D1940">
      <w:pPr>
        <w:overflowPunct w:val="0"/>
        <w:autoSpaceDE w:val="0"/>
        <w:autoSpaceDN w:val="0"/>
        <w:adjustRightInd w:val="0"/>
        <w:spacing w:after="120" w:line="240" w:lineRule="auto"/>
        <w:ind w:left="360"/>
        <w:jc w:val="both"/>
        <w:textAlignment w:val="baseline"/>
      </w:pPr>
    </w:p>
    <w:sectPr w:rsidR="00AE2475" w:rsidRPr="00AE24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8C344" w14:textId="77777777" w:rsidR="009F438A" w:rsidRDefault="009F438A" w:rsidP="00001C9B">
      <w:pPr>
        <w:spacing w:after="0" w:line="240" w:lineRule="auto"/>
      </w:pPr>
      <w:r>
        <w:separator/>
      </w:r>
    </w:p>
  </w:endnote>
  <w:endnote w:type="continuationSeparator" w:id="0">
    <w:p w14:paraId="551FB724" w14:textId="77777777" w:rsidR="009F438A" w:rsidRDefault="009F438A" w:rsidP="00001C9B">
      <w:pPr>
        <w:spacing w:after="0" w:line="240" w:lineRule="auto"/>
      </w:pPr>
      <w:r>
        <w:continuationSeparator/>
      </w:r>
    </w:p>
  </w:endnote>
  <w:endnote w:type="continuationNotice" w:id="1">
    <w:p w14:paraId="6F035E2B" w14:textId="77777777" w:rsidR="009F438A" w:rsidRDefault="009F43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3E4B2" w14:textId="77777777" w:rsidR="009F438A" w:rsidRDefault="009F438A" w:rsidP="00001C9B">
      <w:pPr>
        <w:spacing w:after="0" w:line="240" w:lineRule="auto"/>
      </w:pPr>
      <w:r>
        <w:separator/>
      </w:r>
    </w:p>
  </w:footnote>
  <w:footnote w:type="continuationSeparator" w:id="0">
    <w:p w14:paraId="40EBFDD6" w14:textId="77777777" w:rsidR="009F438A" w:rsidRDefault="009F438A" w:rsidP="00001C9B">
      <w:pPr>
        <w:spacing w:after="0" w:line="240" w:lineRule="auto"/>
      </w:pPr>
      <w:r>
        <w:continuationSeparator/>
      </w:r>
    </w:p>
  </w:footnote>
  <w:footnote w:type="continuationNotice" w:id="1">
    <w:p w14:paraId="1DAAEFCF" w14:textId="77777777" w:rsidR="009F438A" w:rsidRDefault="009F43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D22683"/>
    <w:multiLevelType w:val="multilevel"/>
    <w:tmpl w:val="30549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384929"/>
    <w:multiLevelType w:val="multilevel"/>
    <w:tmpl w:val="DFCAF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C4C09FC2"/>
    <w:lvl w:ilvl="0" w:tplc="FFFFFFFF">
      <w:start w:val="1"/>
      <w:numFmt w:val="decimal"/>
      <w:pStyle w:val="RAN4Observation"/>
      <w:suff w:val="space"/>
      <w:lvlText w:val="Observation %1:"/>
      <w:lvlJc w:val="left"/>
      <w:pPr>
        <w:ind w:left="0" w:firstLine="0"/>
      </w:pPr>
      <w:rPr>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7"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D6E3167"/>
    <w:multiLevelType w:val="hybridMultilevel"/>
    <w:tmpl w:val="F9782D14"/>
    <w:lvl w:ilvl="0" w:tplc="2E2A8DD8">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450AB4"/>
    <w:multiLevelType w:val="hybridMultilevel"/>
    <w:tmpl w:val="41F60AB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7C517E7A"/>
    <w:multiLevelType w:val="hybridMultilevel"/>
    <w:tmpl w:val="DB1664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8"/>
  </w:num>
  <w:num w:numId="5">
    <w:abstractNumId w:val="11"/>
  </w:num>
  <w:num w:numId="6">
    <w:abstractNumId w:val="10"/>
  </w:num>
  <w:num w:numId="7">
    <w:abstractNumId w:val="4"/>
  </w:num>
  <w:num w:numId="8">
    <w:abstractNumId w:val="5"/>
  </w:num>
  <w:num w:numId="9">
    <w:abstractNumId w:val="13"/>
  </w:num>
  <w:num w:numId="10">
    <w:abstractNumId w:val="7"/>
  </w:num>
  <w:num w:numId="11">
    <w:abstractNumId w:val="12"/>
  </w:num>
  <w:num w:numId="12">
    <w:abstractNumId w:val="2"/>
  </w:num>
  <w:num w:numId="13">
    <w:abstractNumId w:val="14"/>
  </w:num>
  <w:num w:numId="14">
    <w:abstractNumId w:val="1"/>
    <w:lvlOverride w:ilvl="0">
      <w:startOverride w:val="1"/>
    </w:lvlOverride>
  </w:num>
  <w:num w:numId="15">
    <w:abstractNumId w:val="3"/>
    <w:lvlOverride w:ilvl="0">
      <w:startOverride w:val="1"/>
    </w:lvlOverride>
  </w:num>
  <w:num w:numId="16">
    <w:abstractNumId w:val="6"/>
    <w:lvlOverride w:ilvl="0">
      <w:startOverride w:val="1"/>
    </w:lvlOverride>
  </w:num>
  <w:num w:numId="17">
    <w:abstractNumId w:val="8"/>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116DD"/>
    <w:rsid w:val="00014861"/>
    <w:rsid w:val="00017E8B"/>
    <w:rsid w:val="000355AE"/>
    <w:rsid w:val="00035E84"/>
    <w:rsid w:val="00043285"/>
    <w:rsid w:val="000476B6"/>
    <w:rsid w:val="00051F48"/>
    <w:rsid w:val="0005269E"/>
    <w:rsid w:val="000574D6"/>
    <w:rsid w:val="00062F6B"/>
    <w:rsid w:val="0006590F"/>
    <w:rsid w:val="00073236"/>
    <w:rsid w:val="0007385D"/>
    <w:rsid w:val="0007400D"/>
    <w:rsid w:val="00074B20"/>
    <w:rsid w:val="0007547A"/>
    <w:rsid w:val="000755FB"/>
    <w:rsid w:val="00080395"/>
    <w:rsid w:val="0008612A"/>
    <w:rsid w:val="00086C77"/>
    <w:rsid w:val="00092144"/>
    <w:rsid w:val="000926E7"/>
    <w:rsid w:val="000A20DE"/>
    <w:rsid w:val="000A3D8C"/>
    <w:rsid w:val="000A5622"/>
    <w:rsid w:val="000A5729"/>
    <w:rsid w:val="000B0056"/>
    <w:rsid w:val="000B748F"/>
    <w:rsid w:val="000C56C0"/>
    <w:rsid w:val="000D2D87"/>
    <w:rsid w:val="000D5C4C"/>
    <w:rsid w:val="000E2027"/>
    <w:rsid w:val="000E23A6"/>
    <w:rsid w:val="000E5003"/>
    <w:rsid w:val="000F01D4"/>
    <w:rsid w:val="000F09AB"/>
    <w:rsid w:val="000F2A39"/>
    <w:rsid w:val="000F4C1A"/>
    <w:rsid w:val="000F7435"/>
    <w:rsid w:val="00102AA6"/>
    <w:rsid w:val="001057E8"/>
    <w:rsid w:val="001108FE"/>
    <w:rsid w:val="001109F8"/>
    <w:rsid w:val="00112230"/>
    <w:rsid w:val="001149DB"/>
    <w:rsid w:val="00117796"/>
    <w:rsid w:val="001209AC"/>
    <w:rsid w:val="0012444B"/>
    <w:rsid w:val="00124459"/>
    <w:rsid w:val="00126279"/>
    <w:rsid w:val="00130290"/>
    <w:rsid w:val="00130600"/>
    <w:rsid w:val="00131135"/>
    <w:rsid w:val="00140330"/>
    <w:rsid w:val="00142412"/>
    <w:rsid w:val="00143E75"/>
    <w:rsid w:val="00151A8D"/>
    <w:rsid w:val="0015200C"/>
    <w:rsid w:val="0015341D"/>
    <w:rsid w:val="001622C4"/>
    <w:rsid w:val="00162FA0"/>
    <w:rsid w:val="00165EE7"/>
    <w:rsid w:val="001679DE"/>
    <w:rsid w:val="001745F8"/>
    <w:rsid w:val="00174AD3"/>
    <w:rsid w:val="0017501D"/>
    <w:rsid w:val="001802FD"/>
    <w:rsid w:val="001838CF"/>
    <w:rsid w:val="0019220B"/>
    <w:rsid w:val="00192A0F"/>
    <w:rsid w:val="001958A2"/>
    <w:rsid w:val="00195E2B"/>
    <w:rsid w:val="001961B9"/>
    <w:rsid w:val="001A72C1"/>
    <w:rsid w:val="001B116F"/>
    <w:rsid w:val="001B2870"/>
    <w:rsid w:val="001B5B85"/>
    <w:rsid w:val="001D1940"/>
    <w:rsid w:val="001D54CB"/>
    <w:rsid w:val="001D6CBA"/>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1083"/>
    <w:rsid w:val="0021156E"/>
    <w:rsid w:val="002131AA"/>
    <w:rsid w:val="002149F0"/>
    <w:rsid w:val="00214E5E"/>
    <w:rsid w:val="002177E9"/>
    <w:rsid w:val="002255AA"/>
    <w:rsid w:val="002267F3"/>
    <w:rsid w:val="002325A1"/>
    <w:rsid w:val="00235F5C"/>
    <w:rsid w:val="00236D6F"/>
    <w:rsid w:val="00236D78"/>
    <w:rsid w:val="00237A2C"/>
    <w:rsid w:val="00245F37"/>
    <w:rsid w:val="0024625B"/>
    <w:rsid w:val="00255E2C"/>
    <w:rsid w:val="002562FC"/>
    <w:rsid w:val="002650B5"/>
    <w:rsid w:val="00265102"/>
    <w:rsid w:val="00265843"/>
    <w:rsid w:val="00273443"/>
    <w:rsid w:val="00280503"/>
    <w:rsid w:val="00282637"/>
    <w:rsid w:val="00284157"/>
    <w:rsid w:val="002853E1"/>
    <w:rsid w:val="002870BB"/>
    <w:rsid w:val="00287B2D"/>
    <w:rsid w:val="00294438"/>
    <w:rsid w:val="00295D0B"/>
    <w:rsid w:val="002A384C"/>
    <w:rsid w:val="002A4B7B"/>
    <w:rsid w:val="002A6280"/>
    <w:rsid w:val="002B26BF"/>
    <w:rsid w:val="002B3044"/>
    <w:rsid w:val="002B4922"/>
    <w:rsid w:val="002B6964"/>
    <w:rsid w:val="002C136A"/>
    <w:rsid w:val="002C23B6"/>
    <w:rsid w:val="002C2D19"/>
    <w:rsid w:val="002C4FA4"/>
    <w:rsid w:val="002C54F8"/>
    <w:rsid w:val="002C6B98"/>
    <w:rsid w:val="002D0A10"/>
    <w:rsid w:val="002D10FA"/>
    <w:rsid w:val="002D2A2F"/>
    <w:rsid w:val="002D44E3"/>
    <w:rsid w:val="002D4C55"/>
    <w:rsid w:val="002E01B2"/>
    <w:rsid w:val="002E664D"/>
    <w:rsid w:val="002F1542"/>
    <w:rsid w:val="003052C9"/>
    <w:rsid w:val="003154E6"/>
    <w:rsid w:val="0032066B"/>
    <w:rsid w:val="00333C93"/>
    <w:rsid w:val="00334C4B"/>
    <w:rsid w:val="003365BF"/>
    <w:rsid w:val="00336CAE"/>
    <w:rsid w:val="00343C51"/>
    <w:rsid w:val="003441AA"/>
    <w:rsid w:val="0034546C"/>
    <w:rsid w:val="00351119"/>
    <w:rsid w:val="00360BDD"/>
    <w:rsid w:val="00362C68"/>
    <w:rsid w:val="00363644"/>
    <w:rsid w:val="00366991"/>
    <w:rsid w:val="00376F54"/>
    <w:rsid w:val="003776D8"/>
    <w:rsid w:val="0038046E"/>
    <w:rsid w:val="00384776"/>
    <w:rsid w:val="00386F0A"/>
    <w:rsid w:val="00386F6B"/>
    <w:rsid w:val="00386FA7"/>
    <w:rsid w:val="00390247"/>
    <w:rsid w:val="00391337"/>
    <w:rsid w:val="00391A23"/>
    <w:rsid w:val="003A2CBA"/>
    <w:rsid w:val="003B03F3"/>
    <w:rsid w:val="003B1432"/>
    <w:rsid w:val="003B2E8E"/>
    <w:rsid w:val="003B659E"/>
    <w:rsid w:val="003B7ACC"/>
    <w:rsid w:val="003C174C"/>
    <w:rsid w:val="003C2C76"/>
    <w:rsid w:val="003C46D1"/>
    <w:rsid w:val="003C6693"/>
    <w:rsid w:val="003C6881"/>
    <w:rsid w:val="003D2040"/>
    <w:rsid w:val="003D34E3"/>
    <w:rsid w:val="003D6875"/>
    <w:rsid w:val="003E0127"/>
    <w:rsid w:val="003E3825"/>
    <w:rsid w:val="003E508A"/>
    <w:rsid w:val="003E5526"/>
    <w:rsid w:val="003E5C9D"/>
    <w:rsid w:val="003F36E0"/>
    <w:rsid w:val="003F4960"/>
    <w:rsid w:val="003F5961"/>
    <w:rsid w:val="003F7E7B"/>
    <w:rsid w:val="004001CA"/>
    <w:rsid w:val="00404AE4"/>
    <w:rsid w:val="004065C2"/>
    <w:rsid w:val="00413472"/>
    <w:rsid w:val="00423A76"/>
    <w:rsid w:val="0043238D"/>
    <w:rsid w:val="0043615A"/>
    <w:rsid w:val="004367F1"/>
    <w:rsid w:val="0043750A"/>
    <w:rsid w:val="004573AB"/>
    <w:rsid w:val="00460827"/>
    <w:rsid w:val="00460A9F"/>
    <w:rsid w:val="0046167E"/>
    <w:rsid w:val="00473F14"/>
    <w:rsid w:val="00475300"/>
    <w:rsid w:val="004765AE"/>
    <w:rsid w:val="004826F3"/>
    <w:rsid w:val="0048457F"/>
    <w:rsid w:val="00485917"/>
    <w:rsid w:val="00490412"/>
    <w:rsid w:val="00493619"/>
    <w:rsid w:val="00495434"/>
    <w:rsid w:val="00496B4A"/>
    <w:rsid w:val="0049704C"/>
    <w:rsid w:val="004A1821"/>
    <w:rsid w:val="004A1E51"/>
    <w:rsid w:val="004A3F24"/>
    <w:rsid w:val="004A40D6"/>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E66"/>
    <w:rsid w:val="004F3B01"/>
    <w:rsid w:val="00503282"/>
    <w:rsid w:val="005032C3"/>
    <w:rsid w:val="00503B4D"/>
    <w:rsid w:val="00504EE9"/>
    <w:rsid w:val="00510FB5"/>
    <w:rsid w:val="00511D00"/>
    <w:rsid w:val="005150F7"/>
    <w:rsid w:val="00522F06"/>
    <w:rsid w:val="00524299"/>
    <w:rsid w:val="0053065D"/>
    <w:rsid w:val="005318D1"/>
    <w:rsid w:val="005343AA"/>
    <w:rsid w:val="005440B8"/>
    <w:rsid w:val="0054442C"/>
    <w:rsid w:val="005479EB"/>
    <w:rsid w:val="00550285"/>
    <w:rsid w:val="005505C2"/>
    <w:rsid w:val="00554227"/>
    <w:rsid w:val="00556D62"/>
    <w:rsid w:val="0056348E"/>
    <w:rsid w:val="00567303"/>
    <w:rsid w:val="005768F8"/>
    <w:rsid w:val="00581548"/>
    <w:rsid w:val="005817F7"/>
    <w:rsid w:val="005836F8"/>
    <w:rsid w:val="005847F4"/>
    <w:rsid w:val="00585575"/>
    <w:rsid w:val="00586299"/>
    <w:rsid w:val="00587208"/>
    <w:rsid w:val="00587948"/>
    <w:rsid w:val="0059230A"/>
    <w:rsid w:val="005937A3"/>
    <w:rsid w:val="005A01EA"/>
    <w:rsid w:val="005A138E"/>
    <w:rsid w:val="005A1915"/>
    <w:rsid w:val="005A1E00"/>
    <w:rsid w:val="005A2904"/>
    <w:rsid w:val="005A4058"/>
    <w:rsid w:val="005A4FE7"/>
    <w:rsid w:val="005A71E8"/>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47AE2"/>
    <w:rsid w:val="00657320"/>
    <w:rsid w:val="00661412"/>
    <w:rsid w:val="006637DF"/>
    <w:rsid w:val="00664950"/>
    <w:rsid w:val="0066617A"/>
    <w:rsid w:val="00683220"/>
    <w:rsid w:val="00683CB8"/>
    <w:rsid w:val="0068640E"/>
    <w:rsid w:val="00687FA0"/>
    <w:rsid w:val="00696989"/>
    <w:rsid w:val="006A7876"/>
    <w:rsid w:val="006A7D79"/>
    <w:rsid w:val="006B7010"/>
    <w:rsid w:val="006C0384"/>
    <w:rsid w:val="006C3421"/>
    <w:rsid w:val="006C3FC0"/>
    <w:rsid w:val="006C4790"/>
    <w:rsid w:val="006C4CD2"/>
    <w:rsid w:val="006C645C"/>
    <w:rsid w:val="006D241A"/>
    <w:rsid w:val="006D260F"/>
    <w:rsid w:val="006D6F35"/>
    <w:rsid w:val="006D70D8"/>
    <w:rsid w:val="006D7B45"/>
    <w:rsid w:val="006E1FD9"/>
    <w:rsid w:val="006E2B00"/>
    <w:rsid w:val="006E3B4A"/>
    <w:rsid w:val="006E7AF0"/>
    <w:rsid w:val="006F61EC"/>
    <w:rsid w:val="00703052"/>
    <w:rsid w:val="007041B5"/>
    <w:rsid w:val="007047A4"/>
    <w:rsid w:val="0070502B"/>
    <w:rsid w:val="0070580A"/>
    <w:rsid w:val="00706198"/>
    <w:rsid w:val="00707526"/>
    <w:rsid w:val="00707A94"/>
    <w:rsid w:val="00707D4C"/>
    <w:rsid w:val="007106BA"/>
    <w:rsid w:val="00711292"/>
    <w:rsid w:val="007145FF"/>
    <w:rsid w:val="00715818"/>
    <w:rsid w:val="0071616D"/>
    <w:rsid w:val="00716C73"/>
    <w:rsid w:val="0071784F"/>
    <w:rsid w:val="00723FBE"/>
    <w:rsid w:val="0072415A"/>
    <w:rsid w:val="007311C9"/>
    <w:rsid w:val="00731B99"/>
    <w:rsid w:val="00733746"/>
    <w:rsid w:val="0074048A"/>
    <w:rsid w:val="0074187C"/>
    <w:rsid w:val="007430CA"/>
    <w:rsid w:val="0074427A"/>
    <w:rsid w:val="00745F59"/>
    <w:rsid w:val="00747E34"/>
    <w:rsid w:val="0075025E"/>
    <w:rsid w:val="00750A33"/>
    <w:rsid w:val="0075150C"/>
    <w:rsid w:val="00751515"/>
    <w:rsid w:val="007527C1"/>
    <w:rsid w:val="0075490C"/>
    <w:rsid w:val="007578E8"/>
    <w:rsid w:val="00761BF5"/>
    <w:rsid w:val="0076280D"/>
    <w:rsid w:val="00762FFD"/>
    <w:rsid w:val="007648B2"/>
    <w:rsid w:val="007730F2"/>
    <w:rsid w:val="0078329A"/>
    <w:rsid w:val="00783B71"/>
    <w:rsid w:val="00784412"/>
    <w:rsid w:val="00785232"/>
    <w:rsid w:val="00793970"/>
    <w:rsid w:val="00796061"/>
    <w:rsid w:val="00796A12"/>
    <w:rsid w:val="00796E74"/>
    <w:rsid w:val="00797F1A"/>
    <w:rsid w:val="007A15EE"/>
    <w:rsid w:val="007A306D"/>
    <w:rsid w:val="007A5F1D"/>
    <w:rsid w:val="007A61B3"/>
    <w:rsid w:val="007B28BE"/>
    <w:rsid w:val="007C1002"/>
    <w:rsid w:val="007C1DCC"/>
    <w:rsid w:val="007C3A0E"/>
    <w:rsid w:val="007C3ED0"/>
    <w:rsid w:val="007D0AD9"/>
    <w:rsid w:val="007D2289"/>
    <w:rsid w:val="007D3D33"/>
    <w:rsid w:val="007D76FC"/>
    <w:rsid w:val="007E406E"/>
    <w:rsid w:val="007E4A9F"/>
    <w:rsid w:val="00802873"/>
    <w:rsid w:val="008040B8"/>
    <w:rsid w:val="00805A83"/>
    <w:rsid w:val="00806A76"/>
    <w:rsid w:val="00811C9D"/>
    <w:rsid w:val="00814EF4"/>
    <w:rsid w:val="00816C80"/>
    <w:rsid w:val="00817153"/>
    <w:rsid w:val="0082015A"/>
    <w:rsid w:val="008226EB"/>
    <w:rsid w:val="00823523"/>
    <w:rsid w:val="00825BAF"/>
    <w:rsid w:val="0082641B"/>
    <w:rsid w:val="008268D5"/>
    <w:rsid w:val="00826A94"/>
    <w:rsid w:val="008278B2"/>
    <w:rsid w:val="0083342A"/>
    <w:rsid w:val="00841BCD"/>
    <w:rsid w:val="0085201A"/>
    <w:rsid w:val="00852B07"/>
    <w:rsid w:val="00857FC9"/>
    <w:rsid w:val="00862775"/>
    <w:rsid w:val="00864577"/>
    <w:rsid w:val="00864992"/>
    <w:rsid w:val="008658D5"/>
    <w:rsid w:val="00870CCB"/>
    <w:rsid w:val="00871019"/>
    <w:rsid w:val="0087233E"/>
    <w:rsid w:val="00881AE5"/>
    <w:rsid w:val="008826C1"/>
    <w:rsid w:val="00886AF2"/>
    <w:rsid w:val="00891635"/>
    <w:rsid w:val="0089227B"/>
    <w:rsid w:val="00894DBC"/>
    <w:rsid w:val="00894F68"/>
    <w:rsid w:val="008960FF"/>
    <w:rsid w:val="008977B9"/>
    <w:rsid w:val="008A42D0"/>
    <w:rsid w:val="008A4AC4"/>
    <w:rsid w:val="008A4C8B"/>
    <w:rsid w:val="008A59CB"/>
    <w:rsid w:val="008A635E"/>
    <w:rsid w:val="008A69EC"/>
    <w:rsid w:val="008A6D84"/>
    <w:rsid w:val="008B1670"/>
    <w:rsid w:val="008B2312"/>
    <w:rsid w:val="008B5B38"/>
    <w:rsid w:val="008B67BD"/>
    <w:rsid w:val="008C7475"/>
    <w:rsid w:val="008C7844"/>
    <w:rsid w:val="008D0338"/>
    <w:rsid w:val="008D5AF1"/>
    <w:rsid w:val="008E0A1C"/>
    <w:rsid w:val="008E31F8"/>
    <w:rsid w:val="008E67FB"/>
    <w:rsid w:val="008F2C0D"/>
    <w:rsid w:val="008F5164"/>
    <w:rsid w:val="008F64E5"/>
    <w:rsid w:val="008F7B6B"/>
    <w:rsid w:val="00900C72"/>
    <w:rsid w:val="009042BD"/>
    <w:rsid w:val="0090747A"/>
    <w:rsid w:val="00910B17"/>
    <w:rsid w:val="00911E46"/>
    <w:rsid w:val="009141BA"/>
    <w:rsid w:val="00915C60"/>
    <w:rsid w:val="009162EB"/>
    <w:rsid w:val="00923241"/>
    <w:rsid w:val="00925178"/>
    <w:rsid w:val="00926655"/>
    <w:rsid w:val="0093021E"/>
    <w:rsid w:val="00936A39"/>
    <w:rsid w:val="009375F7"/>
    <w:rsid w:val="009427A9"/>
    <w:rsid w:val="00943983"/>
    <w:rsid w:val="00944751"/>
    <w:rsid w:val="009462B6"/>
    <w:rsid w:val="009468AA"/>
    <w:rsid w:val="0095687B"/>
    <w:rsid w:val="00960417"/>
    <w:rsid w:val="00960F25"/>
    <w:rsid w:val="00961D90"/>
    <w:rsid w:val="0096398E"/>
    <w:rsid w:val="00963B53"/>
    <w:rsid w:val="00964A4F"/>
    <w:rsid w:val="00966E36"/>
    <w:rsid w:val="0097080A"/>
    <w:rsid w:val="00970CF3"/>
    <w:rsid w:val="00970D3C"/>
    <w:rsid w:val="00971A14"/>
    <w:rsid w:val="00975A16"/>
    <w:rsid w:val="00976113"/>
    <w:rsid w:val="00977E1D"/>
    <w:rsid w:val="00980373"/>
    <w:rsid w:val="00980394"/>
    <w:rsid w:val="00982A88"/>
    <w:rsid w:val="00985535"/>
    <w:rsid w:val="009919A3"/>
    <w:rsid w:val="00996A54"/>
    <w:rsid w:val="00997744"/>
    <w:rsid w:val="009A2D2B"/>
    <w:rsid w:val="009A4337"/>
    <w:rsid w:val="009A51CC"/>
    <w:rsid w:val="009A52DC"/>
    <w:rsid w:val="009B227B"/>
    <w:rsid w:val="009B602E"/>
    <w:rsid w:val="009B6C1A"/>
    <w:rsid w:val="009C787D"/>
    <w:rsid w:val="009D341F"/>
    <w:rsid w:val="009D7F56"/>
    <w:rsid w:val="009E34DF"/>
    <w:rsid w:val="009F0431"/>
    <w:rsid w:val="009F0FAF"/>
    <w:rsid w:val="009F243A"/>
    <w:rsid w:val="009F438A"/>
    <w:rsid w:val="009F544F"/>
    <w:rsid w:val="009F5670"/>
    <w:rsid w:val="009F6DBE"/>
    <w:rsid w:val="00A020F4"/>
    <w:rsid w:val="00A118E8"/>
    <w:rsid w:val="00A13DDC"/>
    <w:rsid w:val="00A1678F"/>
    <w:rsid w:val="00A17B37"/>
    <w:rsid w:val="00A200EE"/>
    <w:rsid w:val="00A20F36"/>
    <w:rsid w:val="00A21230"/>
    <w:rsid w:val="00A22B78"/>
    <w:rsid w:val="00A2461A"/>
    <w:rsid w:val="00A25AE5"/>
    <w:rsid w:val="00A30FA1"/>
    <w:rsid w:val="00A313E5"/>
    <w:rsid w:val="00A34CCC"/>
    <w:rsid w:val="00A409BB"/>
    <w:rsid w:val="00A42663"/>
    <w:rsid w:val="00A460FA"/>
    <w:rsid w:val="00A51EB7"/>
    <w:rsid w:val="00A52249"/>
    <w:rsid w:val="00A5246B"/>
    <w:rsid w:val="00A52BD3"/>
    <w:rsid w:val="00A53824"/>
    <w:rsid w:val="00A625A6"/>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4389"/>
    <w:rsid w:val="00AC5CA7"/>
    <w:rsid w:val="00AC7172"/>
    <w:rsid w:val="00AD1216"/>
    <w:rsid w:val="00AE2475"/>
    <w:rsid w:val="00AE4E14"/>
    <w:rsid w:val="00AF0857"/>
    <w:rsid w:val="00AF21F5"/>
    <w:rsid w:val="00B0082E"/>
    <w:rsid w:val="00B02489"/>
    <w:rsid w:val="00B06394"/>
    <w:rsid w:val="00B07A4B"/>
    <w:rsid w:val="00B13C57"/>
    <w:rsid w:val="00B14CF0"/>
    <w:rsid w:val="00B16B9B"/>
    <w:rsid w:val="00B171F0"/>
    <w:rsid w:val="00B23C25"/>
    <w:rsid w:val="00B248F7"/>
    <w:rsid w:val="00B25E76"/>
    <w:rsid w:val="00B27CEF"/>
    <w:rsid w:val="00B308E7"/>
    <w:rsid w:val="00B31965"/>
    <w:rsid w:val="00B31CD5"/>
    <w:rsid w:val="00B31E9A"/>
    <w:rsid w:val="00B34766"/>
    <w:rsid w:val="00B36D5B"/>
    <w:rsid w:val="00B41953"/>
    <w:rsid w:val="00B43505"/>
    <w:rsid w:val="00B4460A"/>
    <w:rsid w:val="00B469B2"/>
    <w:rsid w:val="00B51DCE"/>
    <w:rsid w:val="00B55FDC"/>
    <w:rsid w:val="00B62A7B"/>
    <w:rsid w:val="00B65F6D"/>
    <w:rsid w:val="00B72BC9"/>
    <w:rsid w:val="00B767A1"/>
    <w:rsid w:val="00B8554B"/>
    <w:rsid w:val="00B96DA3"/>
    <w:rsid w:val="00BA01FA"/>
    <w:rsid w:val="00BA12A1"/>
    <w:rsid w:val="00BA2BD8"/>
    <w:rsid w:val="00BA6E48"/>
    <w:rsid w:val="00BB213E"/>
    <w:rsid w:val="00BB6036"/>
    <w:rsid w:val="00BB6BEA"/>
    <w:rsid w:val="00BC01C9"/>
    <w:rsid w:val="00BC0518"/>
    <w:rsid w:val="00BC20DA"/>
    <w:rsid w:val="00BC4263"/>
    <w:rsid w:val="00BC4539"/>
    <w:rsid w:val="00BC67C6"/>
    <w:rsid w:val="00BC6ADB"/>
    <w:rsid w:val="00BC7C70"/>
    <w:rsid w:val="00BD149A"/>
    <w:rsid w:val="00BD1516"/>
    <w:rsid w:val="00BD34B0"/>
    <w:rsid w:val="00BE350B"/>
    <w:rsid w:val="00BE37FB"/>
    <w:rsid w:val="00BE3E89"/>
    <w:rsid w:val="00BE485B"/>
    <w:rsid w:val="00BE5C63"/>
    <w:rsid w:val="00BE5F1B"/>
    <w:rsid w:val="00BE6B0A"/>
    <w:rsid w:val="00BE7C72"/>
    <w:rsid w:val="00BF0F73"/>
    <w:rsid w:val="00BF168E"/>
    <w:rsid w:val="00BF2218"/>
    <w:rsid w:val="00C03DB4"/>
    <w:rsid w:val="00C07FAE"/>
    <w:rsid w:val="00C12E65"/>
    <w:rsid w:val="00C14AFE"/>
    <w:rsid w:val="00C219F1"/>
    <w:rsid w:val="00C25509"/>
    <w:rsid w:val="00C27CD5"/>
    <w:rsid w:val="00C36DF3"/>
    <w:rsid w:val="00C44972"/>
    <w:rsid w:val="00C47463"/>
    <w:rsid w:val="00C517AB"/>
    <w:rsid w:val="00C52E17"/>
    <w:rsid w:val="00C530CB"/>
    <w:rsid w:val="00C53BF0"/>
    <w:rsid w:val="00C67D92"/>
    <w:rsid w:val="00C707CE"/>
    <w:rsid w:val="00C716D6"/>
    <w:rsid w:val="00CA22D5"/>
    <w:rsid w:val="00CA6ADC"/>
    <w:rsid w:val="00CA7DDF"/>
    <w:rsid w:val="00CB24C3"/>
    <w:rsid w:val="00CB5A09"/>
    <w:rsid w:val="00CC012F"/>
    <w:rsid w:val="00CC2C6A"/>
    <w:rsid w:val="00CC470A"/>
    <w:rsid w:val="00CD7492"/>
    <w:rsid w:val="00CE2443"/>
    <w:rsid w:val="00CE2BEE"/>
    <w:rsid w:val="00CE3A6B"/>
    <w:rsid w:val="00CF17A8"/>
    <w:rsid w:val="00CF4364"/>
    <w:rsid w:val="00CF4F06"/>
    <w:rsid w:val="00D00211"/>
    <w:rsid w:val="00D01D07"/>
    <w:rsid w:val="00D03530"/>
    <w:rsid w:val="00D06309"/>
    <w:rsid w:val="00D12838"/>
    <w:rsid w:val="00D24102"/>
    <w:rsid w:val="00D34988"/>
    <w:rsid w:val="00D349DC"/>
    <w:rsid w:val="00D351EA"/>
    <w:rsid w:val="00D354C4"/>
    <w:rsid w:val="00D35594"/>
    <w:rsid w:val="00D370E7"/>
    <w:rsid w:val="00D43403"/>
    <w:rsid w:val="00D4607A"/>
    <w:rsid w:val="00D53298"/>
    <w:rsid w:val="00D60DB0"/>
    <w:rsid w:val="00D62E71"/>
    <w:rsid w:val="00D631D8"/>
    <w:rsid w:val="00D65C3E"/>
    <w:rsid w:val="00D6645D"/>
    <w:rsid w:val="00D715FB"/>
    <w:rsid w:val="00D7262A"/>
    <w:rsid w:val="00D740CA"/>
    <w:rsid w:val="00D76FC6"/>
    <w:rsid w:val="00D8304C"/>
    <w:rsid w:val="00D85728"/>
    <w:rsid w:val="00D858D2"/>
    <w:rsid w:val="00D85DC3"/>
    <w:rsid w:val="00D8661B"/>
    <w:rsid w:val="00D91DE2"/>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0DE"/>
    <w:rsid w:val="00DE5AC9"/>
    <w:rsid w:val="00DE5F01"/>
    <w:rsid w:val="00DF0B7B"/>
    <w:rsid w:val="00DF2997"/>
    <w:rsid w:val="00DF3435"/>
    <w:rsid w:val="00DF3461"/>
    <w:rsid w:val="00DF5A85"/>
    <w:rsid w:val="00DF6FED"/>
    <w:rsid w:val="00E00441"/>
    <w:rsid w:val="00E0198A"/>
    <w:rsid w:val="00E01B57"/>
    <w:rsid w:val="00E03C16"/>
    <w:rsid w:val="00E0619A"/>
    <w:rsid w:val="00E15BED"/>
    <w:rsid w:val="00E17629"/>
    <w:rsid w:val="00E247CC"/>
    <w:rsid w:val="00E257DE"/>
    <w:rsid w:val="00E276B5"/>
    <w:rsid w:val="00E3080C"/>
    <w:rsid w:val="00E30ADB"/>
    <w:rsid w:val="00E34909"/>
    <w:rsid w:val="00E403A7"/>
    <w:rsid w:val="00E4069D"/>
    <w:rsid w:val="00E42707"/>
    <w:rsid w:val="00E50C7F"/>
    <w:rsid w:val="00E61110"/>
    <w:rsid w:val="00E64435"/>
    <w:rsid w:val="00E656EC"/>
    <w:rsid w:val="00E6704F"/>
    <w:rsid w:val="00E72B96"/>
    <w:rsid w:val="00E85529"/>
    <w:rsid w:val="00E8590A"/>
    <w:rsid w:val="00E86FB4"/>
    <w:rsid w:val="00E91A5B"/>
    <w:rsid w:val="00EA0C50"/>
    <w:rsid w:val="00EA2462"/>
    <w:rsid w:val="00EA2CB2"/>
    <w:rsid w:val="00EA3482"/>
    <w:rsid w:val="00EA3B6F"/>
    <w:rsid w:val="00EA3EA9"/>
    <w:rsid w:val="00EA69DF"/>
    <w:rsid w:val="00EC0BD8"/>
    <w:rsid w:val="00EC184E"/>
    <w:rsid w:val="00EC2A9C"/>
    <w:rsid w:val="00EC5ABF"/>
    <w:rsid w:val="00EC5F4D"/>
    <w:rsid w:val="00EC7BC3"/>
    <w:rsid w:val="00ED17D0"/>
    <w:rsid w:val="00ED1BCA"/>
    <w:rsid w:val="00ED7600"/>
    <w:rsid w:val="00EE48A6"/>
    <w:rsid w:val="00EE51C7"/>
    <w:rsid w:val="00EE6D2F"/>
    <w:rsid w:val="00EE6FC7"/>
    <w:rsid w:val="00EF1A9E"/>
    <w:rsid w:val="00EF3E91"/>
    <w:rsid w:val="00EF7C9F"/>
    <w:rsid w:val="00F0018E"/>
    <w:rsid w:val="00F04C45"/>
    <w:rsid w:val="00F0628F"/>
    <w:rsid w:val="00F101B7"/>
    <w:rsid w:val="00F1362C"/>
    <w:rsid w:val="00F168D2"/>
    <w:rsid w:val="00F21025"/>
    <w:rsid w:val="00F21A14"/>
    <w:rsid w:val="00F224D6"/>
    <w:rsid w:val="00F421DD"/>
    <w:rsid w:val="00F42B07"/>
    <w:rsid w:val="00F4761D"/>
    <w:rsid w:val="00F64578"/>
    <w:rsid w:val="00F657A2"/>
    <w:rsid w:val="00F71877"/>
    <w:rsid w:val="00F72507"/>
    <w:rsid w:val="00F72ED0"/>
    <w:rsid w:val="00F7450D"/>
    <w:rsid w:val="00F824F5"/>
    <w:rsid w:val="00F83877"/>
    <w:rsid w:val="00F84643"/>
    <w:rsid w:val="00F84BA1"/>
    <w:rsid w:val="00F85D40"/>
    <w:rsid w:val="00F87098"/>
    <w:rsid w:val="00F95D1B"/>
    <w:rsid w:val="00FA0EDC"/>
    <w:rsid w:val="00FA1D1C"/>
    <w:rsid w:val="00FA2185"/>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6C99"/>
    <w:rsid w:val="09B3759D"/>
    <w:rsid w:val="11FABD2C"/>
    <w:rsid w:val="2AABED5D"/>
    <w:rsid w:val="30B6439F"/>
    <w:rsid w:val="3AB671B9"/>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37100E18-DC9C-4EA4-8863-FAFFFA270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3GPPNormalText">
    <w:name w:val="3GPP Normal Text"/>
    <w:basedOn w:val="BodyText"/>
    <w:link w:val="3GPPNormalTextChar"/>
    <w:qFormat/>
    <w:rsid w:val="00A30FA1"/>
    <w:pPr>
      <w:spacing w:after="60" w:line="240" w:lineRule="auto"/>
    </w:pPr>
    <w:rPr>
      <w:rFonts w:ascii="Times New Roman" w:eastAsia="MS Mincho" w:hAnsi="Times New Roman" w:cs="Times New Roman"/>
      <w:sz w:val="20"/>
      <w:szCs w:val="24"/>
      <w:lang w:val="en-US" w:eastAsia="en-US"/>
    </w:rPr>
  </w:style>
  <w:style w:type="character" w:customStyle="1" w:styleId="3GPPNormalTextChar">
    <w:name w:val="3GPP Normal Text Char"/>
    <w:link w:val="3GPPNormalText"/>
    <w:qFormat/>
    <w:rsid w:val="00A30FA1"/>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5624093">
          <w:marLeft w:val="0"/>
          <w:marRight w:val="0"/>
          <w:marTop w:val="0"/>
          <w:marBottom w:val="0"/>
          <w:divBdr>
            <w:top w:val="none" w:sz="0" w:space="0" w:color="auto"/>
            <w:left w:val="none" w:sz="0" w:space="0" w:color="auto"/>
            <w:bottom w:val="none" w:sz="0" w:space="0" w:color="auto"/>
            <w:right w:val="none" w:sz="0" w:space="0" w:color="auto"/>
          </w:divBdr>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69434">
          <w:marLeft w:val="0"/>
          <w:marRight w:val="0"/>
          <w:marTop w:val="0"/>
          <w:marBottom w:val="0"/>
          <w:divBdr>
            <w:top w:val="none" w:sz="0" w:space="0" w:color="auto"/>
            <w:left w:val="none" w:sz="0" w:space="0" w:color="auto"/>
            <w:bottom w:val="none" w:sz="0" w:space="0" w:color="auto"/>
            <w:right w:val="none" w:sz="0" w:space="0" w:color="auto"/>
          </w:divBdr>
        </w:div>
        <w:div w:id="1820341903">
          <w:marLeft w:val="0"/>
          <w:marRight w:val="0"/>
          <w:marTop w:val="0"/>
          <w:marBottom w:val="0"/>
          <w:divBdr>
            <w:top w:val="none" w:sz="0" w:space="0" w:color="auto"/>
            <w:left w:val="none" w:sz="0" w:space="0" w:color="auto"/>
            <w:bottom w:val="none" w:sz="0" w:space="0" w:color="auto"/>
            <w:right w:val="none" w:sz="0" w:space="0" w:color="auto"/>
          </w:divBdr>
        </w:div>
        <w:div w:id="350298662">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8992544">
          <w:marLeft w:val="0"/>
          <w:marRight w:val="0"/>
          <w:marTop w:val="0"/>
          <w:marBottom w:val="0"/>
          <w:divBdr>
            <w:top w:val="none" w:sz="0" w:space="0" w:color="auto"/>
            <w:left w:val="none" w:sz="0" w:space="0" w:color="auto"/>
            <w:bottom w:val="none" w:sz="0" w:space="0" w:color="auto"/>
            <w:right w:val="none" w:sz="0" w:space="0" w:color="auto"/>
          </w:divBdr>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7439179">
      <w:bodyDiv w:val="1"/>
      <w:marLeft w:val="0"/>
      <w:marRight w:val="0"/>
      <w:marTop w:val="0"/>
      <w:marBottom w:val="0"/>
      <w:divBdr>
        <w:top w:val="none" w:sz="0" w:space="0" w:color="auto"/>
        <w:left w:val="none" w:sz="0" w:space="0" w:color="auto"/>
        <w:bottom w:val="none" w:sz="0" w:space="0" w:color="auto"/>
        <w:right w:val="none" w:sz="0" w:space="0" w:color="auto"/>
      </w:divBdr>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3851776">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08701046">
      <w:bodyDiv w:val="1"/>
      <w:marLeft w:val="0"/>
      <w:marRight w:val="0"/>
      <w:marTop w:val="0"/>
      <w:marBottom w:val="0"/>
      <w:divBdr>
        <w:top w:val="none" w:sz="0" w:space="0" w:color="auto"/>
        <w:left w:val="none" w:sz="0" w:space="0" w:color="auto"/>
        <w:bottom w:val="none" w:sz="0" w:space="0" w:color="auto"/>
        <w:right w:val="none" w:sz="0" w:space="0" w:color="auto"/>
      </w:divBdr>
      <w:divsChild>
        <w:div w:id="1231691298">
          <w:marLeft w:val="360"/>
          <w:marRight w:val="0"/>
          <w:marTop w:val="200"/>
          <w:marBottom w:val="0"/>
          <w:divBdr>
            <w:top w:val="none" w:sz="0" w:space="0" w:color="auto"/>
            <w:left w:val="none" w:sz="0" w:space="0" w:color="auto"/>
            <w:bottom w:val="none" w:sz="0" w:space="0" w:color="auto"/>
            <w:right w:val="none" w:sz="0" w:space="0" w:color="auto"/>
          </w:divBdr>
        </w:div>
        <w:div w:id="1532839818">
          <w:marLeft w:val="360"/>
          <w:marRight w:val="0"/>
          <w:marTop w:val="200"/>
          <w:marBottom w:val="0"/>
          <w:divBdr>
            <w:top w:val="none" w:sz="0" w:space="0" w:color="auto"/>
            <w:left w:val="none" w:sz="0" w:space="0" w:color="auto"/>
            <w:bottom w:val="none" w:sz="0" w:space="0" w:color="auto"/>
            <w:right w:val="none" w:sz="0" w:space="0" w:color="auto"/>
          </w:divBdr>
        </w:div>
        <w:div w:id="980765565">
          <w:marLeft w:val="1080"/>
          <w:marRight w:val="0"/>
          <w:marTop w:val="100"/>
          <w:marBottom w:val="0"/>
          <w:divBdr>
            <w:top w:val="none" w:sz="0" w:space="0" w:color="auto"/>
            <w:left w:val="none" w:sz="0" w:space="0" w:color="auto"/>
            <w:bottom w:val="none" w:sz="0" w:space="0" w:color="auto"/>
            <w:right w:val="none" w:sz="0" w:space="0" w:color="auto"/>
          </w:divBdr>
        </w:div>
        <w:div w:id="221142009">
          <w:marLeft w:val="360"/>
          <w:marRight w:val="0"/>
          <w:marTop w:val="200"/>
          <w:marBottom w:val="0"/>
          <w:divBdr>
            <w:top w:val="none" w:sz="0" w:space="0" w:color="auto"/>
            <w:left w:val="none" w:sz="0" w:space="0" w:color="auto"/>
            <w:bottom w:val="none" w:sz="0" w:space="0" w:color="auto"/>
            <w:right w:val="none" w:sz="0" w:space="0" w:color="auto"/>
          </w:divBdr>
        </w:div>
        <w:div w:id="1318922524">
          <w:marLeft w:val="360"/>
          <w:marRight w:val="0"/>
          <w:marTop w:val="200"/>
          <w:marBottom w:val="0"/>
          <w:divBdr>
            <w:top w:val="none" w:sz="0" w:space="0" w:color="auto"/>
            <w:left w:val="none" w:sz="0" w:space="0" w:color="auto"/>
            <w:bottom w:val="none" w:sz="0" w:space="0" w:color="auto"/>
            <w:right w:val="none" w:sz="0" w:space="0" w:color="auto"/>
          </w:divBdr>
        </w:div>
        <w:div w:id="986013757">
          <w:marLeft w:val="360"/>
          <w:marRight w:val="0"/>
          <w:marTop w:val="200"/>
          <w:marBottom w:val="0"/>
          <w:divBdr>
            <w:top w:val="none" w:sz="0" w:space="0" w:color="auto"/>
            <w:left w:val="none" w:sz="0" w:space="0" w:color="auto"/>
            <w:bottom w:val="none" w:sz="0" w:space="0" w:color="auto"/>
            <w:right w:val="none" w:sz="0" w:space="0" w:color="auto"/>
          </w:divBdr>
        </w:div>
      </w:divsChild>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37071104">
      <w:bodyDiv w:val="1"/>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9094039">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48051008">
      <w:bodyDiv w:val="1"/>
      <w:marLeft w:val="0"/>
      <w:marRight w:val="0"/>
      <w:marTop w:val="0"/>
      <w:marBottom w:val="0"/>
      <w:divBdr>
        <w:top w:val="none" w:sz="0" w:space="0" w:color="auto"/>
        <w:left w:val="none" w:sz="0" w:space="0" w:color="auto"/>
        <w:bottom w:val="none" w:sz="0" w:space="0" w:color="auto"/>
        <w:right w:val="none" w:sz="0" w:space="0" w:color="auto"/>
      </w:divBdr>
    </w:div>
    <w:div w:id="65484067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1768970">
      <w:bodyDiv w:val="1"/>
      <w:marLeft w:val="0"/>
      <w:marRight w:val="0"/>
      <w:marTop w:val="0"/>
      <w:marBottom w:val="0"/>
      <w:divBdr>
        <w:top w:val="none" w:sz="0" w:space="0" w:color="auto"/>
        <w:left w:val="none" w:sz="0" w:space="0" w:color="auto"/>
        <w:bottom w:val="none" w:sz="0" w:space="0" w:color="auto"/>
        <w:right w:val="none" w:sz="0" w:space="0" w:color="auto"/>
      </w:divBdr>
      <w:divsChild>
        <w:div w:id="795639704">
          <w:marLeft w:val="360"/>
          <w:marRight w:val="0"/>
          <w:marTop w:val="200"/>
          <w:marBottom w:val="0"/>
          <w:divBdr>
            <w:top w:val="none" w:sz="0" w:space="0" w:color="auto"/>
            <w:left w:val="none" w:sz="0" w:space="0" w:color="auto"/>
            <w:bottom w:val="none" w:sz="0" w:space="0" w:color="auto"/>
            <w:right w:val="none" w:sz="0" w:space="0" w:color="auto"/>
          </w:divBdr>
        </w:div>
        <w:div w:id="1425613703">
          <w:marLeft w:val="360"/>
          <w:marRight w:val="0"/>
          <w:marTop w:val="200"/>
          <w:marBottom w:val="0"/>
          <w:divBdr>
            <w:top w:val="none" w:sz="0" w:space="0" w:color="auto"/>
            <w:left w:val="none" w:sz="0" w:space="0" w:color="auto"/>
            <w:bottom w:val="none" w:sz="0" w:space="0" w:color="auto"/>
            <w:right w:val="none" w:sz="0" w:space="0" w:color="auto"/>
          </w:divBdr>
        </w:div>
        <w:div w:id="131364497">
          <w:marLeft w:val="360"/>
          <w:marRight w:val="0"/>
          <w:marTop w:val="200"/>
          <w:marBottom w:val="0"/>
          <w:divBdr>
            <w:top w:val="none" w:sz="0" w:space="0" w:color="auto"/>
            <w:left w:val="none" w:sz="0" w:space="0" w:color="auto"/>
            <w:bottom w:val="none" w:sz="0" w:space="0" w:color="auto"/>
            <w:right w:val="none" w:sz="0" w:space="0" w:color="auto"/>
          </w:divBdr>
        </w:div>
        <w:div w:id="179509648">
          <w:marLeft w:val="360"/>
          <w:marRight w:val="0"/>
          <w:marTop w:val="200"/>
          <w:marBottom w:val="0"/>
          <w:divBdr>
            <w:top w:val="none" w:sz="0" w:space="0" w:color="auto"/>
            <w:left w:val="none" w:sz="0" w:space="0" w:color="auto"/>
            <w:bottom w:val="none" w:sz="0" w:space="0" w:color="auto"/>
            <w:right w:val="none" w:sz="0" w:space="0" w:color="auto"/>
          </w:divBdr>
        </w:div>
        <w:div w:id="1374227277">
          <w:marLeft w:val="1080"/>
          <w:marRight w:val="0"/>
          <w:marTop w:val="100"/>
          <w:marBottom w:val="0"/>
          <w:divBdr>
            <w:top w:val="none" w:sz="0" w:space="0" w:color="auto"/>
            <w:left w:val="none" w:sz="0" w:space="0" w:color="auto"/>
            <w:bottom w:val="none" w:sz="0" w:space="0" w:color="auto"/>
            <w:right w:val="none" w:sz="0" w:space="0" w:color="auto"/>
          </w:divBdr>
        </w:div>
        <w:div w:id="1308582984">
          <w:marLeft w:val="1080"/>
          <w:marRight w:val="0"/>
          <w:marTop w:val="100"/>
          <w:marBottom w:val="0"/>
          <w:divBdr>
            <w:top w:val="none" w:sz="0" w:space="0" w:color="auto"/>
            <w:left w:val="none" w:sz="0" w:space="0" w:color="auto"/>
            <w:bottom w:val="none" w:sz="0" w:space="0" w:color="auto"/>
            <w:right w:val="none" w:sz="0" w:space="0" w:color="auto"/>
          </w:divBdr>
        </w:div>
        <w:div w:id="29691873">
          <w:marLeft w:val="1080"/>
          <w:marRight w:val="0"/>
          <w:marTop w:val="100"/>
          <w:marBottom w:val="0"/>
          <w:divBdr>
            <w:top w:val="none" w:sz="0" w:space="0" w:color="auto"/>
            <w:left w:val="none" w:sz="0" w:space="0" w:color="auto"/>
            <w:bottom w:val="none" w:sz="0" w:space="0" w:color="auto"/>
            <w:right w:val="none" w:sz="0" w:space="0" w:color="auto"/>
          </w:divBdr>
        </w:div>
        <w:div w:id="17701667">
          <w:marLeft w:val="1080"/>
          <w:marRight w:val="0"/>
          <w:marTop w:val="100"/>
          <w:marBottom w:val="0"/>
          <w:divBdr>
            <w:top w:val="none" w:sz="0" w:space="0" w:color="auto"/>
            <w:left w:val="none" w:sz="0" w:space="0" w:color="auto"/>
            <w:bottom w:val="none" w:sz="0" w:space="0" w:color="auto"/>
            <w:right w:val="none" w:sz="0" w:space="0" w:color="auto"/>
          </w:divBdr>
        </w:div>
        <w:div w:id="1735857922">
          <w:marLeft w:val="360"/>
          <w:marRight w:val="0"/>
          <w:marTop w:val="200"/>
          <w:marBottom w:val="0"/>
          <w:divBdr>
            <w:top w:val="none" w:sz="0" w:space="0" w:color="auto"/>
            <w:left w:val="none" w:sz="0" w:space="0" w:color="auto"/>
            <w:bottom w:val="none" w:sz="0" w:space="0" w:color="auto"/>
            <w:right w:val="none" w:sz="0" w:space="0" w:color="auto"/>
          </w:divBdr>
        </w:div>
        <w:div w:id="296107301">
          <w:marLeft w:val="360"/>
          <w:marRight w:val="0"/>
          <w:marTop w:val="200"/>
          <w:marBottom w:val="0"/>
          <w:divBdr>
            <w:top w:val="none" w:sz="0" w:space="0" w:color="auto"/>
            <w:left w:val="none" w:sz="0" w:space="0" w:color="auto"/>
            <w:bottom w:val="none" w:sz="0" w:space="0" w:color="auto"/>
            <w:right w:val="none" w:sz="0" w:space="0" w:color="auto"/>
          </w:divBdr>
        </w:div>
        <w:div w:id="737217268">
          <w:marLeft w:val="360"/>
          <w:marRight w:val="0"/>
          <w:marTop w:val="200"/>
          <w:marBottom w:val="0"/>
          <w:divBdr>
            <w:top w:val="none" w:sz="0" w:space="0" w:color="auto"/>
            <w:left w:val="none" w:sz="0" w:space="0" w:color="auto"/>
            <w:bottom w:val="none" w:sz="0" w:space="0" w:color="auto"/>
            <w:right w:val="none" w:sz="0" w:space="0" w:color="auto"/>
          </w:divBdr>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99725266">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48657783">
      <w:bodyDiv w:val="1"/>
      <w:marLeft w:val="0"/>
      <w:marRight w:val="0"/>
      <w:marTop w:val="0"/>
      <w:marBottom w:val="0"/>
      <w:divBdr>
        <w:top w:val="none" w:sz="0" w:space="0" w:color="auto"/>
        <w:left w:val="none" w:sz="0" w:space="0" w:color="auto"/>
        <w:bottom w:val="none" w:sz="0" w:space="0" w:color="auto"/>
        <w:right w:val="none" w:sz="0" w:space="0" w:color="auto"/>
      </w:divBdr>
      <w:divsChild>
        <w:div w:id="1190488930">
          <w:marLeft w:val="360"/>
          <w:marRight w:val="0"/>
          <w:marTop w:val="200"/>
          <w:marBottom w:val="0"/>
          <w:divBdr>
            <w:top w:val="none" w:sz="0" w:space="0" w:color="auto"/>
            <w:left w:val="none" w:sz="0" w:space="0" w:color="auto"/>
            <w:bottom w:val="none" w:sz="0" w:space="0" w:color="auto"/>
            <w:right w:val="none" w:sz="0" w:space="0" w:color="auto"/>
          </w:divBdr>
        </w:div>
        <w:div w:id="1614093940">
          <w:marLeft w:val="360"/>
          <w:marRight w:val="0"/>
          <w:marTop w:val="200"/>
          <w:marBottom w:val="0"/>
          <w:divBdr>
            <w:top w:val="none" w:sz="0" w:space="0" w:color="auto"/>
            <w:left w:val="none" w:sz="0" w:space="0" w:color="auto"/>
            <w:bottom w:val="none" w:sz="0" w:space="0" w:color="auto"/>
            <w:right w:val="none" w:sz="0" w:space="0" w:color="auto"/>
          </w:divBdr>
        </w:div>
        <w:div w:id="143477288">
          <w:marLeft w:val="360"/>
          <w:marRight w:val="0"/>
          <w:marTop w:val="200"/>
          <w:marBottom w:val="0"/>
          <w:divBdr>
            <w:top w:val="none" w:sz="0" w:space="0" w:color="auto"/>
            <w:left w:val="none" w:sz="0" w:space="0" w:color="auto"/>
            <w:bottom w:val="none" w:sz="0" w:space="0" w:color="auto"/>
            <w:right w:val="none" w:sz="0" w:space="0" w:color="auto"/>
          </w:divBdr>
        </w:div>
        <w:div w:id="527060251">
          <w:marLeft w:val="360"/>
          <w:marRight w:val="0"/>
          <w:marTop w:val="200"/>
          <w:marBottom w:val="0"/>
          <w:divBdr>
            <w:top w:val="none" w:sz="0" w:space="0" w:color="auto"/>
            <w:left w:val="none" w:sz="0" w:space="0" w:color="auto"/>
            <w:bottom w:val="none" w:sz="0" w:space="0" w:color="auto"/>
            <w:right w:val="none" w:sz="0" w:space="0" w:color="auto"/>
          </w:divBdr>
        </w:div>
        <w:div w:id="508761704">
          <w:marLeft w:val="1080"/>
          <w:marRight w:val="0"/>
          <w:marTop w:val="100"/>
          <w:marBottom w:val="0"/>
          <w:divBdr>
            <w:top w:val="none" w:sz="0" w:space="0" w:color="auto"/>
            <w:left w:val="none" w:sz="0" w:space="0" w:color="auto"/>
            <w:bottom w:val="none" w:sz="0" w:space="0" w:color="auto"/>
            <w:right w:val="none" w:sz="0" w:space="0" w:color="auto"/>
          </w:divBdr>
        </w:div>
        <w:div w:id="1359548678">
          <w:marLeft w:val="1080"/>
          <w:marRight w:val="0"/>
          <w:marTop w:val="100"/>
          <w:marBottom w:val="0"/>
          <w:divBdr>
            <w:top w:val="none" w:sz="0" w:space="0" w:color="auto"/>
            <w:left w:val="none" w:sz="0" w:space="0" w:color="auto"/>
            <w:bottom w:val="none" w:sz="0" w:space="0" w:color="auto"/>
            <w:right w:val="none" w:sz="0" w:space="0" w:color="auto"/>
          </w:divBdr>
        </w:div>
        <w:div w:id="1846941915">
          <w:marLeft w:val="1080"/>
          <w:marRight w:val="0"/>
          <w:marTop w:val="100"/>
          <w:marBottom w:val="0"/>
          <w:divBdr>
            <w:top w:val="none" w:sz="0" w:space="0" w:color="auto"/>
            <w:left w:val="none" w:sz="0" w:space="0" w:color="auto"/>
            <w:bottom w:val="none" w:sz="0" w:space="0" w:color="auto"/>
            <w:right w:val="none" w:sz="0" w:space="0" w:color="auto"/>
          </w:divBdr>
        </w:div>
        <w:div w:id="1014963547">
          <w:marLeft w:val="1080"/>
          <w:marRight w:val="0"/>
          <w:marTop w:val="100"/>
          <w:marBottom w:val="0"/>
          <w:divBdr>
            <w:top w:val="none" w:sz="0" w:space="0" w:color="auto"/>
            <w:left w:val="none" w:sz="0" w:space="0" w:color="auto"/>
            <w:bottom w:val="none" w:sz="0" w:space="0" w:color="auto"/>
            <w:right w:val="none" w:sz="0" w:space="0" w:color="auto"/>
          </w:divBdr>
        </w:div>
        <w:div w:id="1772894578">
          <w:marLeft w:val="360"/>
          <w:marRight w:val="0"/>
          <w:marTop w:val="200"/>
          <w:marBottom w:val="0"/>
          <w:divBdr>
            <w:top w:val="none" w:sz="0" w:space="0" w:color="auto"/>
            <w:left w:val="none" w:sz="0" w:space="0" w:color="auto"/>
            <w:bottom w:val="none" w:sz="0" w:space="0" w:color="auto"/>
            <w:right w:val="none" w:sz="0" w:space="0" w:color="auto"/>
          </w:divBdr>
        </w:div>
        <w:div w:id="176893050">
          <w:marLeft w:val="360"/>
          <w:marRight w:val="0"/>
          <w:marTop w:val="200"/>
          <w:marBottom w:val="0"/>
          <w:divBdr>
            <w:top w:val="none" w:sz="0" w:space="0" w:color="auto"/>
            <w:left w:val="none" w:sz="0" w:space="0" w:color="auto"/>
            <w:bottom w:val="none" w:sz="0" w:space="0" w:color="auto"/>
            <w:right w:val="none" w:sz="0" w:space="0" w:color="auto"/>
          </w:divBdr>
        </w:div>
        <w:div w:id="613489307">
          <w:marLeft w:val="360"/>
          <w:marRight w:val="0"/>
          <w:marTop w:val="200"/>
          <w:marBottom w:val="0"/>
          <w:divBdr>
            <w:top w:val="none" w:sz="0" w:space="0" w:color="auto"/>
            <w:left w:val="none" w:sz="0" w:space="0" w:color="auto"/>
            <w:bottom w:val="none" w:sz="0" w:space="0" w:color="auto"/>
            <w:right w:val="none" w:sz="0" w:space="0" w:color="auto"/>
          </w:divBdr>
        </w:div>
      </w:divsChild>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40587297">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1273436">
          <w:marLeft w:val="0"/>
          <w:marRight w:val="0"/>
          <w:marTop w:val="0"/>
          <w:marBottom w:val="0"/>
          <w:divBdr>
            <w:top w:val="none" w:sz="0" w:space="0" w:color="auto"/>
            <w:left w:val="none" w:sz="0" w:space="0" w:color="auto"/>
            <w:bottom w:val="none" w:sz="0" w:space="0" w:color="auto"/>
            <w:right w:val="none" w:sz="0" w:space="0" w:color="auto"/>
          </w:divBdr>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2875252">
      <w:bodyDiv w:val="1"/>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097897897">
      <w:bodyDiv w:val="1"/>
      <w:marLeft w:val="0"/>
      <w:marRight w:val="0"/>
      <w:marTop w:val="0"/>
      <w:marBottom w:val="0"/>
      <w:divBdr>
        <w:top w:val="none" w:sz="0" w:space="0" w:color="auto"/>
        <w:left w:val="none" w:sz="0" w:space="0" w:color="auto"/>
        <w:bottom w:val="none" w:sz="0" w:space="0" w:color="auto"/>
        <w:right w:val="none" w:sz="0" w:space="0" w:color="auto"/>
      </w:divBdr>
      <w:divsChild>
        <w:div w:id="426735776">
          <w:marLeft w:val="360"/>
          <w:marRight w:val="0"/>
          <w:marTop w:val="200"/>
          <w:marBottom w:val="0"/>
          <w:divBdr>
            <w:top w:val="none" w:sz="0" w:space="0" w:color="auto"/>
            <w:left w:val="none" w:sz="0" w:space="0" w:color="auto"/>
            <w:bottom w:val="none" w:sz="0" w:space="0" w:color="auto"/>
            <w:right w:val="none" w:sz="0" w:space="0" w:color="auto"/>
          </w:divBdr>
        </w:div>
        <w:div w:id="928583942">
          <w:marLeft w:val="360"/>
          <w:marRight w:val="0"/>
          <w:marTop w:val="200"/>
          <w:marBottom w:val="0"/>
          <w:divBdr>
            <w:top w:val="none" w:sz="0" w:space="0" w:color="auto"/>
            <w:left w:val="none" w:sz="0" w:space="0" w:color="auto"/>
            <w:bottom w:val="none" w:sz="0" w:space="0" w:color="auto"/>
            <w:right w:val="none" w:sz="0" w:space="0" w:color="auto"/>
          </w:divBdr>
        </w:div>
        <w:div w:id="1340427158">
          <w:marLeft w:val="1080"/>
          <w:marRight w:val="0"/>
          <w:marTop w:val="100"/>
          <w:marBottom w:val="0"/>
          <w:divBdr>
            <w:top w:val="none" w:sz="0" w:space="0" w:color="auto"/>
            <w:left w:val="none" w:sz="0" w:space="0" w:color="auto"/>
            <w:bottom w:val="none" w:sz="0" w:space="0" w:color="auto"/>
            <w:right w:val="none" w:sz="0" w:space="0" w:color="auto"/>
          </w:divBdr>
        </w:div>
        <w:div w:id="890308890">
          <w:marLeft w:val="360"/>
          <w:marRight w:val="0"/>
          <w:marTop w:val="200"/>
          <w:marBottom w:val="0"/>
          <w:divBdr>
            <w:top w:val="none" w:sz="0" w:space="0" w:color="auto"/>
            <w:left w:val="none" w:sz="0" w:space="0" w:color="auto"/>
            <w:bottom w:val="none" w:sz="0" w:space="0" w:color="auto"/>
            <w:right w:val="none" w:sz="0" w:space="0" w:color="auto"/>
          </w:divBdr>
        </w:div>
        <w:div w:id="2003852816">
          <w:marLeft w:val="360"/>
          <w:marRight w:val="0"/>
          <w:marTop w:val="200"/>
          <w:marBottom w:val="0"/>
          <w:divBdr>
            <w:top w:val="none" w:sz="0" w:space="0" w:color="auto"/>
            <w:left w:val="none" w:sz="0" w:space="0" w:color="auto"/>
            <w:bottom w:val="none" w:sz="0" w:space="0" w:color="auto"/>
            <w:right w:val="none" w:sz="0" w:space="0" w:color="auto"/>
          </w:divBdr>
        </w:div>
        <w:div w:id="1803190171">
          <w:marLeft w:val="360"/>
          <w:marRight w:val="0"/>
          <w:marTop w:val="20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507415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5AIRPNAIUNRU-1328258698-746</_dlc_DocId>
    <_dlc_DocIdUrl xmlns="71c5aaf6-e6ce-465b-b873-5148d2a4c105">
      <Url>https://nokia.sharepoint.com/sites/c5g/5gradio/_layouts/15/DocIdRedir.aspx?ID=5AIRPNAIUNRU-1328258698-746</Url>
      <Description>5AIRPNAIUNRU-1328258698-746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2.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3.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5.xml><?xml version="1.0" encoding="utf-8"?>
<ds:datastoreItem xmlns:ds="http://schemas.openxmlformats.org/officeDocument/2006/customXml" ds:itemID="{11EDEEF3-CF01-46CB-A636-63A37FC17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361E93-2735-4A79-A4B6-75CB97803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825</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13</cp:revision>
  <cp:lastPrinted>2019-04-01T08:54:00Z</cp:lastPrinted>
  <dcterms:created xsi:type="dcterms:W3CDTF">2020-01-15T10:01:00Z</dcterms:created>
  <dcterms:modified xsi:type="dcterms:W3CDTF">2020-02-14T13:42:00Z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83066372-d8c9-4870-90f9-924dce613055</vt:lpwstr>
  </property>
  <property fmtid="{D5CDD505-2E9C-101B-9397-08002B2CF9AE}" pid="4" name="AuthorIds_UIVersion_512">
    <vt:lpwstr>18279</vt:lpwstr>
  </property>
</Properties>
</file>